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8DF71" w14:textId="30D75B57" w:rsidR="009756AA" w:rsidRDefault="00AA1EB5" w:rsidP="009756AA">
      <w:pPr>
        <w:pStyle w:val="ListParagraph"/>
        <w:spacing w:after="0"/>
        <w:ind w:left="0"/>
        <w:jc w:val="both"/>
        <w:rPr>
          <w:b/>
          <w:sz w:val="24"/>
          <w:szCs w:val="24"/>
          <w:lang w:val="en-US"/>
        </w:rPr>
      </w:pPr>
      <w:bookmarkStart w:id="0" w:name="_GoBack"/>
      <w:bookmarkEnd w:id="0"/>
      <w:r w:rsidRPr="00AA1EB5">
        <w:rPr>
          <w:b/>
          <w:sz w:val="24"/>
          <w:szCs w:val="24"/>
          <w:lang w:val="en-US"/>
        </w:rPr>
        <w:t>Supplementary Information on the Consultation Outcome for the Memorandum of Understanding on Housing Provision and Distribution</w:t>
      </w:r>
    </w:p>
    <w:p w14:paraId="09F02938" w14:textId="77777777" w:rsidR="00AA1EB5" w:rsidRDefault="00AA1EB5" w:rsidP="009756AA">
      <w:pPr>
        <w:pStyle w:val="ListParagraph"/>
        <w:spacing w:after="0"/>
        <w:ind w:left="0"/>
        <w:jc w:val="both"/>
        <w:rPr>
          <w:b/>
          <w:sz w:val="24"/>
          <w:szCs w:val="24"/>
          <w:lang w:val="en-US"/>
        </w:rPr>
      </w:pPr>
    </w:p>
    <w:p w14:paraId="5D6A04FC" w14:textId="474E27DD" w:rsidR="00AA1EB5" w:rsidRPr="00AA1EB5" w:rsidRDefault="00AA1EB5" w:rsidP="009756AA">
      <w:pPr>
        <w:pStyle w:val="ListParagraph"/>
        <w:spacing w:after="0"/>
        <w:ind w:left="0"/>
        <w:jc w:val="both"/>
        <w:rPr>
          <w:b/>
          <w:sz w:val="24"/>
          <w:szCs w:val="24"/>
          <w:lang w:val="en-US"/>
        </w:rPr>
      </w:pPr>
      <w:r>
        <w:rPr>
          <w:b/>
          <w:sz w:val="24"/>
          <w:szCs w:val="24"/>
          <w:lang w:val="en-US"/>
        </w:rPr>
        <w:t>Background</w:t>
      </w:r>
    </w:p>
    <w:p w14:paraId="11CE426F" w14:textId="77777777" w:rsidR="00AA1EB5" w:rsidRDefault="00AA1EB5" w:rsidP="009756AA">
      <w:pPr>
        <w:pStyle w:val="ListParagraph"/>
        <w:spacing w:after="0"/>
        <w:ind w:left="0"/>
        <w:jc w:val="both"/>
        <w:rPr>
          <w:sz w:val="24"/>
          <w:szCs w:val="24"/>
          <w:lang w:val="en-US"/>
        </w:rPr>
      </w:pPr>
    </w:p>
    <w:p w14:paraId="27B89CC5" w14:textId="5E9931D4" w:rsidR="00782428" w:rsidRDefault="00AA1EB5" w:rsidP="00AA1EB5">
      <w:pPr>
        <w:pStyle w:val="ListParagraph"/>
        <w:numPr>
          <w:ilvl w:val="1"/>
          <w:numId w:val="3"/>
        </w:numPr>
        <w:spacing w:after="0"/>
        <w:ind w:left="567" w:hanging="567"/>
        <w:jc w:val="both"/>
        <w:rPr>
          <w:sz w:val="24"/>
          <w:szCs w:val="24"/>
          <w:lang w:val="en-US"/>
        </w:rPr>
      </w:pPr>
      <w:r>
        <w:rPr>
          <w:sz w:val="24"/>
          <w:szCs w:val="24"/>
          <w:lang w:val="en-US"/>
        </w:rPr>
        <w:t>The c</w:t>
      </w:r>
      <w:r w:rsidR="009756AA" w:rsidRPr="009756AA">
        <w:rPr>
          <w:sz w:val="24"/>
          <w:szCs w:val="24"/>
          <w:lang w:val="en-US"/>
        </w:rPr>
        <w:t xml:space="preserve">onsultation on the proposed housing distribution </w:t>
      </w:r>
      <w:r w:rsidR="00214E32">
        <w:rPr>
          <w:sz w:val="24"/>
          <w:szCs w:val="24"/>
          <w:lang w:val="en-US"/>
        </w:rPr>
        <w:t>took place</w:t>
      </w:r>
      <w:r w:rsidR="00E441DD">
        <w:rPr>
          <w:sz w:val="24"/>
          <w:szCs w:val="24"/>
          <w:lang w:val="en-US"/>
        </w:rPr>
        <w:t xml:space="preserve"> </w:t>
      </w:r>
      <w:r w:rsidR="00214E32">
        <w:rPr>
          <w:sz w:val="24"/>
          <w:szCs w:val="24"/>
          <w:lang w:val="en-US"/>
        </w:rPr>
        <w:t xml:space="preserve">between </w:t>
      </w:r>
      <w:r w:rsidR="009756AA">
        <w:rPr>
          <w:sz w:val="24"/>
          <w:szCs w:val="24"/>
          <w:lang w:val="en-US"/>
        </w:rPr>
        <w:t>1</w:t>
      </w:r>
      <w:r w:rsidR="009756AA" w:rsidRPr="009756AA">
        <w:rPr>
          <w:sz w:val="24"/>
          <w:szCs w:val="24"/>
          <w:vertAlign w:val="superscript"/>
          <w:lang w:val="en-US"/>
        </w:rPr>
        <w:t>st</w:t>
      </w:r>
      <w:r w:rsidR="009756AA">
        <w:rPr>
          <w:sz w:val="24"/>
          <w:szCs w:val="24"/>
          <w:lang w:val="en-US"/>
        </w:rPr>
        <w:t xml:space="preserve"> November 2019</w:t>
      </w:r>
      <w:r w:rsidR="00E441DD">
        <w:rPr>
          <w:sz w:val="24"/>
          <w:szCs w:val="24"/>
          <w:lang w:val="en-US"/>
        </w:rPr>
        <w:t xml:space="preserve"> </w:t>
      </w:r>
      <w:r w:rsidR="00214E32">
        <w:rPr>
          <w:sz w:val="24"/>
          <w:szCs w:val="24"/>
          <w:lang w:val="en-US"/>
        </w:rPr>
        <w:t>and</w:t>
      </w:r>
      <w:r w:rsidR="00E441DD">
        <w:rPr>
          <w:sz w:val="24"/>
          <w:szCs w:val="24"/>
          <w:lang w:val="en-US"/>
        </w:rPr>
        <w:t xml:space="preserve"> </w:t>
      </w:r>
      <w:r w:rsidR="009756AA">
        <w:rPr>
          <w:sz w:val="24"/>
          <w:szCs w:val="24"/>
          <w:lang w:val="en-US"/>
        </w:rPr>
        <w:t>15</w:t>
      </w:r>
      <w:r w:rsidR="009756AA" w:rsidRPr="009756AA">
        <w:rPr>
          <w:sz w:val="24"/>
          <w:szCs w:val="24"/>
          <w:vertAlign w:val="superscript"/>
          <w:lang w:val="en-US"/>
        </w:rPr>
        <w:t>th</w:t>
      </w:r>
      <w:r w:rsidR="009756AA">
        <w:rPr>
          <w:sz w:val="24"/>
          <w:szCs w:val="24"/>
          <w:lang w:val="en-US"/>
        </w:rPr>
        <w:t xml:space="preserve"> November </w:t>
      </w:r>
      <w:r w:rsidR="00E441DD">
        <w:rPr>
          <w:sz w:val="24"/>
          <w:szCs w:val="24"/>
          <w:lang w:val="en-US"/>
        </w:rPr>
        <w:t>2019</w:t>
      </w:r>
      <w:r w:rsidR="009756AA">
        <w:rPr>
          <w:sz w:val="24"/>
          <w:szCs w:val="24"/>
          <w:lang w:val="en-US"/>
        </w:rPr>
        <w:t>,</w:t>
      </w:r>
      <w:r w:rsidR="00E441DD">
        <w:rPr>
          <w:sz w:val="24"/>
          <w:szCs w:val="24"/>
          <w:lang w:val="en-US"/>
        </w:rPr>
        <w:t xml:space="preserve"> for a period of </w:t>
      </w:r>
      <w:r w:rsidR="009756AA">
        <w:rPr>
          <w:sz w:val="24"/>
          <w:szCs w:val="24"/>
          <w:lang w:val="en-US"/>
        </w:rPr>
        <w:t xml:space="preserve">2 </w:t>
      </w:r>
      <w:r w:rsidR="00E441DD">
        <w:rPr>
          <w:sz w:val="24"/>
          <w:szCs w:val="24"/>
          <w:lang w:val="en-US"/>
        </w:rPr>
        <w:t xml:space="preserve">weeks. </w:t>
      </w:r>
      <w:r w:rsidR="009756AA">
        <w:rPr>
          <w:sz w:val="24"/>
          <w:szCs w:val="24"/>
          <w:lang w:val="en-US"/>
        </w:rPr>
        <w:t>T</w:t>
      </w:r>
      <w:r w:rsidR="00E441DD" w:rsidRPr="00E441DD">
        <w:rPr>
          <w:sz w:val="24"/>
          <w:szCs w:val="24"/>
          <w:lang w:val="en-US"/>
        </w:rPr>
        <w:t xml:space="preserve">he </w:t>
      </w:r>
      <w:r w:rsidR="00214E32">
        <w:rPr>
          <w:sz w:val="24"/>
          <w:szCs w:val="24"/>
          <w:lang w:val="en-US"/>
        </w:rPr>
        <w:t xml:space="preserve">consultation </w:t>
      </w:r>
      <w:r w:rsidR="00E441DD" w:rsidRPr="00E441DD">
        <w:rPr>
          <w:sz w:val="24"/>
          <w:szCs w:val="24"/>
          <w:lang w:val="en-US"/>
        </w:rPr>
        <w:t xml:space="preserve">was sent to the </w:t>
      </w:r>
      <w:r w:rsidR="009756AA">
        <w:rPr>
          <w:sz w:val="24"/>
          <w:szCs w:val="24"/>
          <w:lang w:val="en-US"/>
        </w:rPr>
        <w:t>following:</w:t>
      </w:r>
      <w:r w:rsidR="00E441DD" w:rsidRPr="00E441DD">
        <w:rPr>
          <w:sz w:val="24"/>
          <w:szCs w:val="24"/>
          <w:lang w:val="en-US"/>
        </w:rPr>
        <w:t xml:space="preserve"> </w:t>
      </w:r>
      <w:r w:rsidR="00E441DD" w:rsidRPr="00782428">
        <w:rPr>
          <w:sz w:val="24"/>
          <w:szCs w:val="24"/>
          <w:lang w:val="en-US"/>
        </w:rPr>
        <w:t xml:space="preserve"> </w:t>
      </w:r>
    </w:p>
    <w:p w14:paraId="1423619B" w14:textId="4877A6E2" w:rsidR="007E59F0" w:rsidRDefault="007E59F0" w:rsidP="00AA1EB5">
      <w:pPr>
        <w:pStyle w:val="ListParagraph"/>
        <w:spacing w:after="0"/>
        <w:ind w:left="567" w:hanging="567"/>
        <w:jc w:val="both"/>
        <w:rPr>
          <w:sz w:val="24"/>
          <w:szCs w:val="24"/>
          <w:lang w:val="en-US"/>
        </w:rPr>
      </w:pPr>
    </w:p>
    <w:p w14:paraId="3932DEEF" w14:textId="2C2384A3" w:rsidR="00162B1D" w:rsidRPr="00162B1D" w:rsidRDefault="00162B1D" w:rsidP="00AA1EB5">
      <w:pPr>
        <w:pStyle w:val="ListParagraph"/>
        <w:spacing w:after="0"/>
        <w:ind w:left="1134" w:hanging="567"/>
        <w:jc w:val="both"/>
        <w:rPr>
          <w:sz w:val="24"/>
          <w:szCs w:val="24"/>
          <w:lang w:val="en-US"/>
        </w:rPr>
      </w:pPr>
      <w:r w:rsidRPr="00162B1D">
        <w:rPr>
          <w:sz w:val="24"/>
          <w:szCs w:val="24"/>
          <w:lang w:val="en-US"/>
        </w:rPr>
        <w:t>•</w:t>
      </w:r>
      <w:r w:rsidRPr="00162B1D">
        <w:rPr>
          <w:sz w:val="24"/>
          <w:szCs w:val="24"/>
          <w:lang w:val="en-US"/>
        </w:rPr>
        <w:tab/>
        <w:t xml:space="preserve">Developers and agents </w:t>
      </w:r>
      <w:r>
        <w:rPr>
          <w:sz w:val="24"/>
          <w:szCs w:val="24"/>
          <w:lang w:val="en-US"/>
        </w:rPr>
        <w:t>(</w:t>
      </w:r>
      <w:r w:rsidR="00080611">
        <w:rPr>
          <w:sz w:val="24"/>
          <w:szCs w:val="24"/>
          <w:lang w:val="en-US"/>
        </w:rPr>
        <w:t xml:space="preserve">as registered on </w:t>
      </w:r>
      <w:r w:rsidR="00BF4F6C" w:rsidRPr="00080611">
        <w:rPr>
          <w:sz w:val="24"/>
          <w:szCs w:val="24"/>
          <w:lang w:val="en-US"/>
        </w:rPr>
        <w:t xml:space="preserve">the Developer </w:t>
      </w:r>
      <w:r w:rsidR="00080611" w:rsidRPr="00080611">
        <w:rPr>
          <w:sz w:val="24"/>
          <w:szCs w:val="24"/>
          <w:lang w:val="en-US"/>
        </w:rPr>
        <w:t>F</w:t>
      </w:r>
      <w:r w:rsidR="00BF4F6C" w:rsidRPr="00080611">
        <w:rPr>
          <w:sz w:val="24"/>
          <w:szCs w:val="24"/>
          <w:lang w:val="en-US"/>
        </w:rPr>
        <w:t xml:space="preserve">orum </w:t>
      </w:r>
      <w:r w:rsidR="00080611" w:rsidRPr="00080611">
        <w:rPr>
          <w:sz w:val="24"/>
          <w:szCs w:val="24"/>
          <w:lang w:val="en-US"/>
        </w:rPr>
        <w:t>mailing</w:t>
      </w:r>
      <w:r w:rsidR="00BF4F6C" w:rsidRPr="00080611">
        <w:rPr>
          <w:sz w:val="24"/>
          <w:szCs w:val="24"/>
          <w:lang w:val="en-US"/>
        </w:rPr>
        <w:t xml:space="preserve"> list</w:t>
      </w:r>
      <w:r w:rsidR="00080611" w:rsidRPr="00080611">
        <w:rPr>
          <w:rStyle w:val="FootnoteReference"/>
          <w:sz w:val="24"/>
          <w:szCs w:val="24"/>
          <w:lang w:val="en-US"/>
        </w:rPr>
        <w:footnoteReference w:id="1"/>
      </w:r>
      <w:r w:rsidR="00080611" w:rsidRPr="00080611">
        <w:rPr>
          <w:sz w:val="24"/>
          <w:szCs w:val="24"/>
          <w:lang w:val="en-US"/>
        </w:rPr>
        <w:t>)</w:t>
      </w:r>
    </w:p>
    <w:p w14:paraId="6F9F42A6" w14:textId="07A85CF5" w:rsidR="00162B1D" w:rsidRPr="00162B1D" w:rsidRDefault="00162B1D" w:rsidP="00AA1EB5">
      <w:pPr>
        <w:pStyle w:val="ListParagraph"/>
        <w:spacing w:after="0"/>
        <w:ind w:left="1134" w:hanging="567"/>
        <w:jc w:val="both"/>
        <w:rPr>
          <w:sz w:val="24"/>
          <w:szCs w:val="24"/>
          <w:lang w:val="en-US"/>
        </w:rPr>
      </w:pPr>
      <w:r w:rsidRPr="00162B1D">
        <w:rPr>
          <w:sz w:val="24"/>
          <w:szCs w:val="24"/>
          <w:lang w:val="en-US"/>
        </w:rPr>
        <w:t>•</w:t>
      </w:r>
      <w:r w:rsidRPr="00162B1D">
        <w:rPr>
          <w:sz w:val="24"/>
          <w:szCs w:val="24"/>
          <w:lang w:val="en-US"/>
        </w:rPr>
        <w:tab/>
      </w:r>
      <w:r w:rsidR="00080611">
        <w:rPr>
          <w:sz w:val="24"/>
          <w:szCs w:val="24"/>
          <w:lang w:val="en-US"/>
        </w:rPr>
        <w:t xml:space="preserve">All </w:t>
      </w:r>
      <w:r w:rsidRPr="00162B1D">
        <w:rPr>
          <w:sz w:val="24"/>
          <w:szCs w:val="24"/>
          <w:lang w:val="en-US"/>
        </w:rPr>
        <w:t xml:space="preserve">Parish </w:t>
      </w:r>
      <w:r w:rsidR="00080611">
        <w:rPr>
          <w:sz w:val="24"/>
          <w:szCs w:val="24"/>
          <w:lang w:val="en-US"/>
        </w:rPr>
        <w:t>Councils</w:t>
      </w:r>
      <w:r w:rsidRPr="00162B1D">
        <w:rPr>
          <w:sz w:val="24"/>
          <w:szCs w:val="24"/>
          <w:lang w:val="en-US"/>
        </w:rPr>
        <w:t xml:space="preserve"> </w:t>
      </w:r>
      <w:r w:rsidR="00080611">
        <w:rPr>
          <w:sz w:val="24"/>
          <w:szCs w:val="24"/>
          <w:lang w:val="en-US"/>
        </w:rPr>
        <w:t>within Preston, South Ribble and Chorley</w:t>
      </w:r>
      <w:r>
        <w:rPr>
          <w:sz w:val="24"/>
          <w:szCs w:val="24"/>
          <w:lang w:val="en-US"/>
        </w:rPr>
        <w:t xml:space="preserve"> </w:t>
      </w:r>
    </w:p>
    <w:p w14:paraId="4BCCD39D" w14:textId="3579A950" w:rsidR="00162B1D" w:rsidRPr="00162B1D" w:rsidRDefault="00162B1D" w:rsidP="00AA1EB5">
      <w:pPr>
        <w:pStyle w:val="ListParagraph"/>
        <w:spacing w:after="0"/>
        <w:ind w:left="1134" w:hanging="567"/>
        <w:jc w:val="both"/>
        <w:rPr>
          <w:sz w:val="24"/>
          <w:szCs w:val="24"/>
          <w:lang w:val="en-US"/>
        </w:rPr>
      </w:pPr>
      <w:r w:rsidRPr="00162B1D">
        <w:rPr>
          <w:sz w:val="24"/>
          <w:szCs w:val="24"/>
          <w:lang w:val="en-US"/>
        </w:rPr>
        <w:t>•</w:t>
      </w:r>
      <w:r w:rsidRPr="00162B1D">
        <w:rPr>
          <w:sz w:val="24"/>
          <w:szCs w:val="24"/>
          <w:lang w:val="en-US"/>
        </w:rPr>
        <w:tab/>
      </w:r>
      <w:r w:rsidR="00080611">
        <w:rPr>
          <w:sz w:val="24"/>
          <w:szCs w:val="24"/>
          <w:lang w:val="en-US"/>
        </w:rPr>
        <w:t xml:space="preserve">All </w:t>
      </w:r>
      <w:r w:rsidRPr="00162B1D">
        <w:rPr>
          <w:sz w:val="24"/>
          <w:szCs w:val="24"/>
          <w:lang w:val="en-US"/>
        </w:rPr>
        <w:t xml:space="preserve">Elected </w:t>
      </w:r>
      <w:r w:rsidR="00080611">
        <w:rPr>
          <w:sz w:val="24"/>
          <w:szCs w:val="24"/>
          <w:lang w:val="en-US"/>
        </w:rPr>
        <w:t>M</w:t>
      </w:r>
      <w:r w:rsidRPr="00162B1D">
        <w:rPr>
          <w:sz w:val="24"/>
          <w:szCs w:val="24"/>
          <w:lang w:val="en-US"/>
        </w:rPr>
        <w:t>embers</w:t>
      </w:r>
      <w:r w:rsidR="00080611">
        <w:rPr>
          <w:sz w:val="24"/>
          <w:szCs w:val="24"/>
          <w:lang w:val="en-US"/>
        </w:rPr>
        <w:t xml:space="preserve"> within</w:t>
      </w:r>
      <w:r w:rsidRPr="00162B1D">
        <w:rPr>
          <w:sz w:val="24"/>
          <w:szCs w:val="24"/>
          <w:lang w:val="en-US"/>
        </w:rPr>
        <w:t xml:space="preserve"> </w:t>
      </w:r>
      <w:bookmarkStart w:id="1" w:name="_Hlk24469041"/>
      <w:r w:rsidR="00080611" w:rsidRPr="00080611">
        <w:rPr>
          <w:sz w:val="24"/>
          <w:szCs w:val="24"/>
          <w:lang w:val="en-US"/>
        </w:rPr>
        <w:t>Preston, South Ribble and Chorley</w:t>
      </w:r>
      <w:bookmarkEnd w:id="1"/>
    </w:p>
    <w:p w14:paraId="314A07BD" w14:textId="5CC4F42A" w:rsidR="00162B1D" w:rsidRDefault="00162B1D" w:rsidP="00AA1EB5">
      <w:pPr>
        <w:pStyle w:val="ListParagraph"/>
        <w:spacing w:after="0"/>
        <w:ind w:left="1134" w:hanging="567"/>
        <w:jc w:val="both"/>
        <w:rPr>
          <w:sz w:val="24"/>
          <w:szCs w:val="24"/>
          <w:lang w:val="en-US"/>
        </w:rPr>
      </w:pPr>
      <w:r w:rsidRPr="00162B1D">
        <w:rPr>
          <w:sz w:val="24"/>
          <w:szCs w:val="24"/>
          <w:lang w:val="en-US"/>
        </w:rPr>
        <w:t>•</w:t>
      </w:r>
      <w:r w:rsidRPr="00162B1D">
        <w:rPr>
          <w:sz w:val="24"/>
          <w:szCs w:val="24"/>
          <w:lang w:val="en-US"/>
        </w:rPr>
        <w:tab/>
      </w:r>
      <w:r w:rsidR="00080611">
        <w:rPr>
          <w:sz w:val="24"/>
          <w:szCs w:val="24"/>
          <w:lang w:val="en-US"/>
        </w:rPr>
        <w:t xml:space="preserve">All </w:t>
      </w:r>
      <w:r w:rsidRPr="00162B1D">
        <w:rPr>
          <w:sz w:val="24"/>
          <w:szCs w:val="24"/>
          <w:lang w:val="en-US"/>
        </w:rPr>
        <w:t xml:space="preserve">County </w:t>
      </w:r>
      <w:r w:rsidR="00080611">
        <w:rPr>
          <w:sz w:val="24"/>
          <w:szCs w:val="24"/>
          <w:lang w:val="en-US"/>
        </w:rPr>
        <w:t xml:space="preserve">Councillors representing </w:t>
      </w:r>
      <w:r w:rsidR="00080611" w:rsidRPr="00080611">
        <w:rPr>
          <w:sz w:val="24"/>
          <w:szCs w:val="24"/>
          <w:lang w:val="en-US"/>
        </w:rPr>
        <w:t>Preston, South Ribble and Chorley</w:t>
      </w:r>
    </w:p>
    <w:p w14:paraId="14B34534" w14:textId="77777777" w:rsidR="007E59F0" w:rsidRPr="00162B1D" w:rsidRDefault="007E59F0" w:rsidP="00AA1EB5">
      <w:pPr>
        <w:spacing w:after="0"/>
        <w:ind w:left="567" w:hanging="567"/>
        <w:jc w:val="both"/>
        <w:rPr>
          <w:sz w:val="24"/>
          <w:szCs w:val="24"/>
          <w:lang w:val="en-US"/>
        </w:rPr>
      </w:pPr>
    </w:p>
    <w:p w14:paraId="71C4AABD" w14:textId="449D61D9" w:rsidR="00712504" w:rsidRDefault="00712504" w:rsidP="00AA1EB5">
      <w:pPr>
        <w:pStyle w:val="ListParagraph"/>
        <w:numPr>
          <w:ilvl w:val="1"/>
          <w:numId w:val="3"/>
        </w:numPr>
        <w:spacing w:after="0"/>
        <w:ind w:left="567" w:hanging="567"/>
        <w:jc w:val="both"/>
        <w:rPr>
          <w:sz w:val="24"/>
          <w:szCs w:val="24"/>
          <w:lang w:val="en-US"/>
        </w:rPr>
      </w:pPr>
      <w:r w:rsidRPr="004904BA">
        <w:rPr>
          <w:sz w:val="24"/>
          <w:szCs w:val="24"/>
          <w:lang w:val="en-US"/>
        </w:rPr>
        <w:t>The consultation was also publici</w:t>
      </w:r>
      <w:r w:rsidR="00080611">
        <w:rPr>
          <w:sz w:val="24"/>
          <w:szCs w:val="24"/>
          <w:lang w:val="en-US"/>
        </w:rPr>
        <w:t>s</w:t>
      </w:r>
      <w:r w:rsidRPr="004904BA">
        <w:rPr>
          <w:sz w:val="24"/>
          <w:szCs w:val="24"/>
          <w:lang w:val="en-US"/>
        </w:rPr>
        <w:t xml:space="preserve">ed on the Central Lancashire Planning Policy Team website and on the websites of the 3 </w:t>
      </w:r>
      <w:r w:rsidR="004904BA" w:rsidRPr="004904BA">
        <w:rPr>
          <w:sz w:val="24"/>
          <w:szCs w:val="24"/>
          <w:lang w:val="en-US"/>
        </w:rPr>
        <w:t>Central Lancashire authorities.</w:t>
      </w:r>
      <w:r w:rsidRPr="004904BA">
        <w:rPr>
          <w:sz w:val="24"/>
          <w:szCs w:val="24"/>
          <w:lang w:val="en-US"/>
        </w:rPr>
        <w:t xml:space="preserve"> </w:t>
      </w:r>
    </w:p>
    <w:p w14:paraId="0B25A163" w14:textId="77777777" w:rsidR="00AA1EB5" w:rsidRDefault="00AA1EB5" w:rsidP="00AA1EB5">
      <w:pPr>
        <w:pStyle w:val="ListParagraph"/>
        <w:spacing w:after="0"/>
        <w:ind w:left="567" w:hanging="567"/>
        <w:jc w:val="both"/>
        <w:rPr>
          <w:sz w:val="24"/>
          <w:szCs w:val="24"/>
          <w:lang w:val="en-US"/>
        </w:rPr>
      </w:pPr>
    </w:p>
    <w:p w14:paraId="36197EE3" w14:textId="54C4DCBD" w:rsidR="00AA1EB5" w:rsidRPr="004904BA" w:rsidRDefault="00AA1EB5" w:rsidP="00AA1EB5">
      <w:pPr>
        <w:pStyle w:val="ListParagraph"/>
        <w:numPr>
          <w:ilvl w:val="1"/>
          <w:numId w:val="3"/>
        </w:numPr>
        <w:spacing w:after="0"/>
        <w:ind w:left="567" w:hanging="567"/>
        <w:jc w:val="both"/>
        <w:rPr>
          <w:sz w:val="24"/>
          <w:szCs w:val="24"/>
          <w:lang w:val="en-US"/>
        </w:rPr>
      </w:pPr>
      <w:r>
        <w:rPr>
          <w:sz w:val="24"/>
          <w:szCs w:val="24"/>
          <w:lang w:val="en-US"/>
        </w:rPr>
        <w:t>A detailed responses report with Officer comments is currently being prepared and will be part of the delegated decision considerations which are being sought from this Council report.</w:t>
      </w:r>
    </w:p>
    <w:p w14:paraId="754E1F35" w14:textId="77777777" w:rsidR="00712504" w:rsidRPr="00080611" w:rsidRDefault="00712504" w:rsidP="00712504">
      <w:pPr>
        <w:pStyle w:val="ListParagraph"/>
        <w:spacing w:after="0"/>
        <w:ind w:left="0"/>
        <w:jc w:val="both"/>
        <w:rPr>
          <w:sz w:val="24"/>
          <w:szCs w:val="24"/>
          <w:lang w:val="en-US"/>
        </w:rPr>
      </w:pPr>
    </w:p>
    <w:p w14:paraId="1DE5D92B" w14:textId="4B8936A5" w:rsidR="005C2A29" w:rsidRPr="00AA1EB5" w:rsidRDefault="005C2A29" w:rsidP="005C2A29">
      <w:pPr>
        <w:pStyle w:val="Heading1"/>
        <w:rPr>
          <w:b/>
          <w:color w:val="000000" w:themeColor="text1"/>
          <w:sz w:val="24"/>
        </w:rPr>
      </w:pPr>
      <w:bookmarkStart w:id="2" w:name="_Hlk25315181"/>
      <w:r w:rsidRPr="00AA1EB5">
        <w:rPr>
          <w:b/>
          <w:color w:val="000000" w:themeColor="text1"/>
          <w:sz w:val="24"/>
        </w:rPr>
        <w:t>Consultation responses</w:t>
      </w:r>
    </w:p>
    <w:bookmarkEnd w:id="2"/>
    <w:p w14:paraId="1983812B" w14:textId="77777777" w:rsidR="005C2A29" w:rsidRPr="00080611" w:rsidRDefault="005C2A29" w:rsidP="007E59F0">
      <w:pPr>
        <w:pStyle w:val="ListParagraph"/>
        <w:spacing w:after="0"/>
        <w:ind w:left="0"/>
        <w:jc w:val="both"/>
        <w:rPr>
          <w:sz w:val="24"/>
          <w:szCs w:val="24"/>
          <w:lang w:val="en-US"/>
        </w:rPr>
      </w:pPr>
    </w:p>
    <w:p w14:paraId="48CF7F7E" w14:textId="187493FD" w:rsidR="007E59F0" w:rsidRPr="00CD42B7" w:rsidRDefault="00AB6B36" w:rsidP="00AA1EB5">
      <w:pPr>
        <w:pStyle w:val="ListParagraph"/>
        <w:numPr>
          <w:ilvl w:val="1"/>
          <w:numId w:val="3"/>
        </w:numPr>
        <w:spacing w:after="0"/>
        <w:ind w:left="567" w:hanging="567"/>
        <w:jc w:val="both"/>
        <w:rPr>
          <w:sz w:val="24"/>
          <w:szCs w:val="24"/>
          <w:lang w:val="en-US"/>
        </w:rPr>
      </w:pPr>
      <w:r w:rsidRPr="00CD42B7">
        <w:rPr>
          <w:sz w:val="24"/>
          <w:szCs w:val="24"/>
          <w:lang w:val="en-US"/>
        </w:rPr>
        <w:t xml:space="preserve">A total of </w:t>
      </w:r>
      <w:r w:rsidR="00CD42B7" w:rsidRPr="00CD42B7">
        <w:rPr>
          <w:b/>
          <w:bCs/>
          <w:sz w:val="24"/>
          <w:szCs w:val="24"/>
          <w:lang w:val="en-US"/>
        </w:rPr>
        <w:t>27</w:t>
      </w:r>
      <w:r w:rsidRPr="00CD42B7">
        <w:rPr>
          <w:sz w:val="24"/>
          <w:szCs w:val="24"/>
          <w:lang w:val="en-US"/>
        </w:rPr>
        <w:t xml:space="preserve"> responses were received to this consultation</w:t>
      </w:r>
      <w:r w:rsidR="00AA1EB5">
        <w:rPr>
          <w:sz w:val="24"/>
          <w:szCs w:val="24"/>
          <w:lang w:val="en-US"/>
        </w:rPr>
        <w:t xml:space="preserve">. 3 of the responses agreed with the proposal, </w:t>
      </w:r>
      <w:r w:rsidR="00AA1EB5" w:rsidRPr="00AA1EB5">
        <w:rPr>
          <w:b/>
          <w:sz w:val="24"/>
          <w:szCs w:val="24"/>
          <w:lang w:val="en-US"/>
        </w:rPr>
        <w:t>9</w:t>
      </w:r>
      <w:r w:rsidR="00AA1EB5">
        <w:rPr>
          <w:sz w:val="24"/>
          <w:szCs w:val="24"/>
          <w:lang w:val="en-US"/>
        </w:rPr>
        <w:t xml:space="preserve"> of the responses gave no clear view either way and the </w:t>
      </w:r>
      <w:r w:rsidR="00AA1EB5" w:rsidRPr="00AA1EB5">
        <w:rPr>
          <w:b/>
          <w:sz w:val="24"/>
          <w:szCs w:val="24"/>
          <w:lang w:val="en-US"/>
        </w:rPr>
        <w:t>15</w:t>
      </w:r>
      <w:r w:rsidR="00AA1EB5">
        <w:rPr>
          <w:sz w:val="24"/>
          <w:szCs w:val="24"/>
          <w:lang w:val="en-US"/>
        </w:rPr>
        <w:t xml:space="preserve"> remainder objected to the proposal.</w:t>
      </w:r>
    </w:p>
    <w:p w14:paraId="4CCBA2FD" w14:textId="77777777" w:rsidR="009756AA" w:rsidRDefault="009756AA" w:rsidP="00AA1EB5">
      <w:pPr>
        <w:pStyle w:val="ListParagraph"/>
        <w:spacing w:after="0"/>
        <w:ind w:left="567" w:hanging="567"/>
        <w:jc w:val="both"/>
        <w:rPr>
          <w:sz w:val="24"/>
          <w:szCs w:val="24"/>
          <w:lang w:val="en-US"/>
        </w:rPr>
      </w:pPr>
    </w:p>
    <w:p w14:paraId="1C99F5A9" w14:textId="62619DA8" w:rsidR="006D5B22" w:rsidRDefault="006D5B22" w:rsidP="00AA1EB5">
      <w:pPr>
        <w:pStyle w:val="ListParagraph"/>
        <w:numPr>
          <w:ilvl w:val="1"/>
          <w:numId w:val="3"/>
        </w:numPr>
        <w:spacing w:after="0"/>
        <w:ind w:left="567" w:hanging="567"/>
        <w:jc w:val="both"/>
        <w:rPr>
          <w:sz w:val="24"/>
          <w:szCs w:val="24"/>
          <w:lang w:val="en-US"/>
        </w:rPr>
      </w:pPr>
      <w:r>
        <w:rPr>
          <w:sz w:val="24"/>
          <w:szCs w:val="24"/>
          <w:lang w:val="en-US"/>
        </w:rPr>
        <w:t xml:space="preserve">A </w:t>
      </w:r>
      <w:r w:rsidRPr="005C2A29">
        <w:rPr>
          <w:sz w:val="24"/>
          <w:szCs w:val="24"/>
          <w:u w:val="single"/>
          <w:lang w:val="en-US"/>
        </w:rPr>
        <w:t>summary</w:t>
      </w:r>
      <w:r>
        <w:rPr>
          <w:sz w:val="24"/>
          <w:szCs w:val="24"/>
          <w:lang w:val="en-US"/>
        </w:rPr>
        <w:t xml:space="preserve"> of</w:t>
      </w:r>
      <w:r w:rsidR="00A60587">
        <w:rPr>
          <w:sz w:val="24"/>
          <w:szCs w:val="24"/>
          <w:lang w:val="en-US"/>
        </w:rPr>
        <w:t xml:space="preserve"> </w:t>
      </w:r>
      <w:r>
        <w:rPr>
          <w:sz w:val="24"/>
          <w:szCs w:val="24"/>
          <w:lang w:val="en-US"/>
        </w:rPr>
        <w:t xml:space="preserve">the </w:t>
      </w:r>
      <w:r w:rsidRPr="005C2A29">
        <w:rPr>
          <w:b/>
          <w:bCs/>
          <w:sz w:val="24"/>
          <w:szCs w:val="24"/>
          <w:lang w:val="en-US"/>
        </w:rPr>
        <w:t>key issues</w:t>
      </w:r>
      <w:r>
        <w:rPr>
          <w:sz w:val="24"/>
          <w:szCs w:val="24"/>
          <w:lang w:val="en-US"/>
        </w:rPr>
        <w:t xml:space="preserve"> raised </w:t>
      </w:r>
      <w:r w:rsidR="005C2A29">
        <w:rPr>
          <w:sz w:val="24"/>
          <w:szCs w:val="24"/>
          <w:lang w:val="en-US"/>
        </w:rPr>
        <w:t xml:space="preserve">as a result of the consultation </w:t>
      </w:r>
      <w:r w:rsidR="003D517D">
        <w:rPr>
          <w:sz w:val="24"/>
          <w:szCs w:val="24"/>
          <w:lang w:val="en-US"/>
        </w:rPr>
        <w:t>is</w:t>
      </w:r>
      <w:r w:rsidR="005C2A29">
        <w:rPr>
          <w:sz w:val="24"/>
          <w:szCs w:val="24"/>
          <w:lang w:val="en-US"/>
        </w:rPr>
        <w:t xml:space="preserve"> set out below:</w:t>
      </w:r>
    </w:p>
    <w:p w14:paraId="0B58EA90" w14:textId="77777777" w:rsidR="006D5B22" w:rsidRPr="006D5B22" w:rsidRDefault="006D5B22" w:rsidP="00AA1EB5">
      <w:pPr>
        <w:pStyle w:val="ListParagraph"/>
        <w:spacing w:after="0"/>
        <w:ind w:left="567" w:hanging="567"/>
        <w:jc w:val="both"/>
        <w:rPr>
          <w:sz w:val="24"/>
          <w:szCs w:val="24"/>
          <w:lang w:val="en-US"/>
        </w:rPr>
      </w:pPr>
    </w:p>
    <w:p w14:paraId="61713225" w14:textId="591D062C" w:rsidR="0080371B" w:rsidRDefault="0080371B" w:rsidP="00AA1EB5">
      <w:pPr>
        <w:pStyle w:val="ListParagraph"/>
        <w:numPr>
          <w:ilvl w:val="0"/>
          <w:numId w:val="14"/>
        </w:numPr>
        <w:spacing w:after="0"/>
        <w:ind w:left="993" w:hanging="426"/>
        <w:rPr>
          <w:sz w:val="24"/>
          <w:szCs w:val="24"/>
          <w:lang w:val="en-US"/>
        </w:rPr>
      </w:pPr>
      <w:r>
        <w:rPr>
          <w:sz w:val="24"/>
          <w:szCs w:val="24"/>
          <w:lang w:val="en-US"/>
        </w:rPr>
        <w:t xml:space="preserve">The proposal / methodology for the distribution of housing is unlawful; </w:t>
      </w:r>
    </w:p>
    <w:p w14:paraId="4982A9DD" w14:textId="77777777" w:rsidR="004B0488" w:rsidRDefault="004B0488" w:rsidP="00AA1EB5">
      <w:pPr>
        <w:pStyle w:val="ListParagraph"/>
        <w:spacing w:after="0"/>
        <w:ind w:left="993" w:hanging="426"/>
        <w:rPr>
          <w:sz w:val="24"/>
          <w:szCs w:val="24"/>
          <w:lang w:val="en-US"/>
        </w:rPr>
      </w:pPr>
    </w:p>
    <w:p w14:paraId="6D2B5181" w14:textId="4F9426C2" w:rsidR="006D5B22" w:rsidRDefault="006D5B22" w:rsidP="00AA1EB5">
      <w:pPr>
        <w:pStyle w:val="ListParagraph"/>
        <w:numPr>
          <w:ilvl w:val="0"/>
          <w:numId w:val="14"/>
        </w:numPr>
        <w:spacing w:after="0"/>
        <w:ind w:left="993" w:hanging="426"/>
        <w:rPr>
          <w:sz w:val="24"/>
          <w:szCs w:val="24"/>
          <w:lang w:val="en-US"/>
        </w:rPr>
      </w:pPr>
      <w:r w:rsidRPr="006D5B22">
        <w:rPr>
          <w:sz w:val="24"/>
          <w:szCs w:val="24"/>
          <w:lang w:val="en-US"/>
        </w:rPr>
        <w:t xml:space="preserve">The consultation </w:t>
      </w:r>
      <w:r w:rsidR="008C7275">
        <w:rPr>
          <w:sz w:val="24"/>
          <w:szCs w:val="24"/>
          <w:lang w:val="en-US"/>
        </w:rPr>
        <w:t>is</w:t>
      </w:r>
      <w:r w:rsidRPr="006D5B22">
        <w:rPr>
          <w:sz w:val="24"/>
          <w:szCs w:val="24"/>
          <w:lang w:val="en-US"/>
        </w:rPr>
        <w:t xml:space="preserve"> </w:t>
      </w:r>
      <w:r w:rsidR="004B0488">
        <w:rPr>
          <w:sz w:val="24"/>
          <w:szCs w:val="24"/>
          <w:lang w:val="en-US"/>
        </w:rPr>
        <w:t xml:space="preserve">inadequate and </w:t>
      </w:r>
      <w:r w:rsidRPr="006D5B22">
        <w:rPr>
          <w:sz w:val="24"/>
          <w:szCs w:val="24"/>
          <w:lang w:val="en-US"/>
        </w:rPr>
        <w:t xml:space="preserve">flawed </w:t>
      </w:r>
      <w:r w:rsidR="008C7275">
        <w:rPr>
          <w:sz w:val="24"/>
          <w:szCs w:val="24"/>
          <w:lang w:val="en-US"/>
        </w:rPr>
        <w:t>–</w:t>
      </w:r>
      <w:r w:rsidRPr="006D5B22">
        <w:rPr>
          <w:sz w:val="24"/>
          <w:szCs w:val="24"/>
          <w:lang w:val="en-US"/>
        </w:rPr>
        <w:t xml:space="preserve"> </w:t>
      </w:r>
      <w:r w:rsidR="008C7275">
        <w:rPr>
          <w:sz w:val="24"/>
          <w:szCs w:val="24"/>
          <w:lang w:val="en-US"/>
        </w:rPr>
        <w:t xml:space="preserve">the consultation </w:t>
      </w:r>
      <w:r w:rsidRPr="006D5B22">
        <w:rPr>
          <w:sz w:val="24"/>
          <w:szCs w:val="24"/>
          <w:lang w:val="en-US"/>
        </w:rPr>
        <w:t>was too short to be meaningful</w:t>
      </w:r>
      <w:r>
        <w:rPr>
          <w:sz w:val="24"/>
          <w:szCs w:val="24"/>
          <w:lang w:val="en-US"/>
        </w:rPr>
        <w:t>; n</w:t>
      </w:r>
      <w:r w:rsidRPr="006D5B22">
        <w:rPr>
          <w:sz w:val="24"/>
          <w:szCs w:val="24"/>
          <w:lang w:val="en-US"/>
        </w:rPr>
        <w:t>ot all key stakeholders were consulted;</w:t>
      </w:r>
      <w:r>
        <w:rPr>
          <w:sz w:val="24"/>
          <w:szCs w:val="24"/>
          <w:lang w:val="en-US"/>
        </w:rPr>
        <w:t xml:space="preserve"> and the decision to adopt the housing distribution was made by cabinet</w:t>
      </w:r>
      <w:r w:rsidR="0080371B">
        <w:rPr>
          <w:sz w:val="24"/>
          <w:szCs w:val="24"/>
          <w:lang w:val="en-US"/>
        </w:rPr>
        <w:t>s before the consultation period had expired;</w:t>
      </w:r>
    </w:p>
    <w:p w14:paraId="5AB31752" w14:textId="77777777" w:rsidR="008B16DE" w:rsidRDefault="008B16DE" w:rsidP="00AA1EB5">
      <w:pPr>
        <w:pStyle w:val="ListParagraph"/>
        <w:spacing w:after="0"/>
        <w:ind w:left="993" w:hanging="426"/>
        <w:rPr>
          <w:sz w:val="24"/>
          <w:szCs w:val="24"/>
          <w:lang w:val="en-US"/>
        </w:rPr>
      </w:pPr>
    </w:p>
    <w:p w14:paraId="10DD2B6B" w14:textId="7C2F5ED4" w:rsidR="008B16DE" w:rsidRDefault="008B16DE" w:rsidP="00AA1EB5">
      <w:pPr>
        <w:pStyle w:val="ListParagraph"/>
        <w:numPr>
          <w:ilvl w:val="0"/>
          <w:numId w:val="14"/>
        </w:numPr>
        <w:spacing w:after="0"/>
        <w:ind w:left="993" w:hanging="426"/>
        <w:rPr>
          <w:sz w:val="24"/>
          <w:szCs w:val="24"/>
          <w:lang w:val="en-US"/>
        </w:rPr>
      </w:pPr>
      <w:r>
        <w:rPr>
          <w:sz w:val="24"/>
          <w:szCs w:val="24"/>
          <w:lang w:val="en-US"/>
        </w:rPr>
        <w:t xml:space="preserve">The MOU is pre-determining the Local plan process as it is being decided before the </w:t>
      </w:r>
      <w:r w:rsidR="004B0488">
        <w:rPr>
          <w:sz w:val="24"/>
          <w:szCs w:val="24"/>
          <w:lang w:val="en-US"/>
        </w:rPr>
        <w:t>consultation ends (</w:t>
      </w:r>
      <w:r w:rsidR="008E2F35">
        <w:rPr>
          <w:sz w:val="24"/>
          <w:szCs w:val="24"/>
          <w:lang w:val="en-US"/>
        </w:rPr>
        <w:t xml:space="preserve">i.e. </w:t>
      </w:r>
      <w:r w:rsidR="004B0488">
        <w:rPr>
          <w:sz w:val="24"/>
          <w:szCs w:val="24"/>
          <w:lang w:val="en-US"/>
        </w:rPr>
        <w:t xml:space="preserve">South Ribble </w:t>
      </w:r>
      <w:r w:rsidR="008E2F35">
        <w:rPr>
          <w:sz w:val="24"/>
          <w:szCs w:val="24"/>
          <w:lang w:val="en-US"/>
        </w:rPr>
        <w:t>C</w:t>
      </w:r>
      <w:r w:rsidR="004B0488">
        <w:rPr>
          <w:sz w:val="24"/>
          <w:szCs w:val="24"/>
          <w:lang w:val="en-US"/>
        </w:rPr>
        <w:t xml:space="preserve">abinet) and before the </w:t>
      </w:r>
      <w:r>
        <w:rPr>
          <w:sz w:val="24"/>
          <w:szCs w:val="24"/>
          <w:lang w:val="en-US"/>
        </w:rPr>
        <w:t>Issues and Options consultation has ended</w:t>
      </w:r>
      <w:r w:rsidR="008C7275">
        <w:rPr>
          <w:sz w:val="24"/>
          <w:szCs w:val="24"/>
          <w:lang w:val="en-US"/>
        </w:rPr>
        <w:t>. Further, the Iceni Report has not been subject to a period of consultation;</w:t>
      </w:r>
      <w:r>
        <w:rPr>
          <w:sz w:val="24"/>
          <w:szCs w:val="24"/>
          <w:lang w:val="en-US"/>
        </w:rPr>
        <w:t xml:space="preserve"> </w:t>
      </w:r>
    </w:p>
    <w:p w14:paraId="2746B69B" w14:textId="77777777" w:rsidR="0080371B" w:rsidRPr="006D5B22" w:rsidRDefault="0080371B" w:rsidP="00AA1EB5">
      <w:pPr>
        <w:pStyle w:val="ListParagraph"/>
        <w:spacing w:after="0"/>
        <w:ind w:left="993" w:hanging="426"/>
        <w:rPr>
          <w:sz w:val="24"/>
          <w:szCs w:val="24"/>
          <w:lang w:val="en-US"/>
        </w:rPr>
      </w:pPr>
    </w:p>
    <w:p w14:paraId="10E55EE0" w14:textId="76407D4B" w:rsidR="003D517D" w:rsidRDefault="003D517D" w:rsidP="00AA1EB5">
      <w:pPr>
        <w:pStyle w:val="ListParagraph"/>
        <w:numPr>
          <w:ilvl w:val="0"/>
          <w:numId w:val="14"/>
        </w:numPr>
        <w:spacing w:after="0"/>
        <w:ind w:left="993" w:hanging="426"/>
        <w:rPr>
          <w:sz w:val="24"/>
          <w:szCs w:val="24"/>
          <w:lang w:val="en-US"/>
        </w:rPr>
      </w:pPr>
      <w:r>
        <w:rPr>
          <w:sz w:val="24"/>
          <w:szCs w:val="24"/>
          <w:lang w:val="en-US"/>
        </w:rPr>
        <w:lastRenderedPageBreak/>
        <w:t>T</w:t>
      </w:r>
      <w:r w:rsidRPr="003D517D">
        <w:rPr>
          <w:sz w:val="24"/>
          <w:szCs w:val="24"/>
          <w:lang w:val="en-US"/>
        </w:rPr>
        <w:t>he standard methodology is the default approach for calculating housing need unless there are exceptional circumstances which could justify an alternative approach which also reflects current and future demographic trends and market signals</w:t>
      </w:r>
      <w:r>
        <w:rPr>
          <w:sz w:val="24"/>
          <w:szCs w:val="24"/>
          <w:lang w:val="en-US"/>
        </w:rPr>
        <w:t>;</w:t>
      </w:r>
    </w:p>
    <w:p w14:paraId="2313A613" w14:textId="77777777" w:rsidR="00AE05B4" w:rsidRDefault="00AE05B4" w:rsidP="00AA1EB5">
      <w:pPr>
        <w:pStyle w:val="ListParagraph"/>
        <w:spacing w:after="0"/>
        <w:ind w:left="993" w:hanging="426"/>
        <w:rPr>
          <w:sz w:val="24"/>
          <w:szCs w:val="24"/>
          <w:lang w:val="en-US"/>
        </w:rPr>
      </w:pPr>
    </w:p>
    <w:p w14:paraId="286CE90A" w14:textId="6FFB514A" w:rsidR="00AE05B4" w:rsidRDefault="00AE05B4" w:rsidP="00AA1EB5">
      <w:pPr>
        <w:pStyle w:val="ListParagraph"/>
        <w:numPr>
          <w:ilvl w:val="0"/>
          <w:numId w:val="14"/>
        </w:numPr>
        <w:spacing w:after="0"/>
        <w:ind w:left="993" w:hanging="426"/>
        <w:rPr>
          <w:sz w:val="24"/>
          <w:szCs w:val="24"/>
          <w:lang w:val="en-US"/>
        </w:rPr>
      </w:pPr>
      <w:r>
        <w:rPr>
          <w:sz w:val="24"/>
          <w:szCs w:val="24"/>
          <w:lang w:val="en-US"/>
        </w:rPr>
        <w:t>T</w:t>
      </w:r>
      <w:r w:rsidRPr="00AE05B4">
        <w:rPr>
          <w:sz w:val="24"/>
          <w:szCs w:val="24"/>
          <w:lang w:val="en-US"/>
        </w:rPr>
        <w:t>he standard method identifies a minimum annual housing need figure, it does not produce a housing requirement.</w:t>
      </w:r>
      <w:r w:rsidR="008C7275" w:rsidRPr="008C7275">
        <w:t xml:space="preserve"> </w:t>
      </w:r>
      <w:r w:rsidR="008C7275">
        <w:t>E</w:t>
      </w:r>
      <w:r w:rsidR="008C7275" w:rsidRPr="008C7275">
        <w:rPr>
          <w:sz w:val="24"/>
          <w:szCs w:val="24"/>
          <w:lang w:val="en-US"/>
        </w:rPr>
        <w:t>ach of the authorities should meet its standard method figure as a minimum, with any additional growth then subject to an alternative spatial distribution if justified and robustly evidenced by the strategic plan making authority.</w:t>
      </w:r>
    </w:p>
    <w:p w14:paraId="64BEE21E" w14:textId="77777777" w:rsidR="003D517D" w:rsidRDefault="003D517D" w:rsidP="00AA1EB5">
      <w:pPr>
        <w:pStyle w:val="ListParagraph"/>
        <w:spacing w:after="0"/>
        <w:ind w:left="993" w:hanging="426"/>
        <w:rPr>
          <w:sz w:val="24"/>
          <w:szCs w:val="24"/>
          <w:lang w:val="en-US"/>
        </w:rPr>
      </w:pPr>
    </w:p>
    <w:p w14:paraId="1F569980" w14:textId="77777777" w:rsidR="008C7275" w:rsidRPr="008C7275" w:rsidRDefault="008E2F35" w:rsidP="00AA1EB5">
      <w:pPr>
        <w:pStyle w:val="ListParagraph"/>
        <w:numPr>
          <w:ilvl w:val="0"/>
          <w:numId w:val="14"/>
        </w:numPr>
        <w:spacing w:after="0"/>
        <w:ind w:left="993" w:hanging="426"/>
        <w:rPr>
          <w:sz w:val="24"/>
          <w:szCs w:val="24"/>
          <w:lang w:val="en-US"/>
        </w:rPr>
      </w:pPr>
      <w:r w:rsidRPr="008E2F35">
        <w:rPr>
          <w:sz w:val="24"/>
          <w:szCs w:val="24"/>
          <w:lang w:val="en-US"/>
        </w:rPr>
        <w:t xml:space="preserve">The method of distribution is materially different from the extant Core Strategy and Local Plans and the standard method, and no exceptional circumstances are robustly </w:t>
      </w:r>
      <w:r>
        <w:rPr>
          <w:sz w:val="24"/>
          <w:szCs w:val="24"/>
          <w:lang w:val="en-US"/>
        </w:rPr>
        <w:t>evidenced</w:t>
      </w:r>
      <w:r w:rsidRPr="008E2F35">
        <w:rPr>
          <w:sz w:val="24"/>
          <w:szCs w:val="24"/>
          <w:lang w:val="en-US"/>
        </w:rPr>
        <w:t>.</w:t>
      </w:r>
      <w:r w:rsidRPr="008E2F35">
        <w:rPr>
          <w:b/>
          <w:bCs/>
          <w:sz w:val="24"/>
          <w:szCs w:val="24"/>
          <w:lang w:val="en-US"/>
        </w:rPr>
        <w:t xml:space="preserve"> </w:t>
      </w:r>
    </w:p>
    <w:p w14:paraId="63119BA1" w14:textId="77777777" w:rsidR="008C7275" w:rsidRPr="008C7275" w:rsidRDefault="008C7275" w:rsidP="00AA1EB5">
      <w:pPr>
        <w:pStyle w:val="ListParagraph"/>
        <w:spacing w:after="0"/>
        <w:ind w:left="993" w:hanging="426"/>
        <w:rPr>
          <w:sz w:val="24"/>
          <w:szCs w:val="24"/>
          <w:lang w:val="en-US"/>
        </w:rPr>
      </w:pPr>
    </w:p>
    <w:p w14:paraId="31E2AEBC" w14:textId="734FA222" w:rsidR="006D5B22" w:rsidRPr="008E2F35" w:rsidRDefault="006D5B22" w:rsidP="00AA1EB5">
      <w:pPr>
        <w:pStyle w:val="ListParagraph"/>
        <w:numPr>
          <w:ilvl w:val="0"/>
          <w:numId w:val="14"/>
        </w:numPr>
        <w:spacing w:after="0"/>
        <w:ind w:left="993" w:hanging="426"/>
        <w:rPr>
          <w:sz w:val="24"/>
          <w:szCs w:val="24"/>
          <w:lang w:val="en-US"/>
        </w:rPr>
      </w:pPr>
      <w:r w:rsidRPr="008E2F35">
        <w:rPr>
          <w:sz w:val="24"/>
          <w:szCs w:val="24"/>
          <w:lang w:val="en-US"/>
        </w:rPr>
        <w:t>There is no justification for using a shared figure for the 3 areas which has been calculated by using the standard method for each area and adding it together/sharing it across the 3 area</w:t>
      </w:r>
      <w:r w:rsidR="008C7275">
        <w:rPr>
          <w:sz w:val="24"/>
          <w:szCs w:val="24"/>
          <w:lang w:val="en-US"/>
        </w:rPr>
        <w:t>. T</w:t>
      </w:r>
      <w:r w:rsidR="00AC2A04" w:rsidRPr="008E2F35">
        <w:rPr>
          <w:sz w:val="24"/>
          <w:szCs w:val="24"/>
          <w:lang w:val="en-US"/>
        </w:rPr>
        <w:t>here is no provision in the Framework or Guidance for measuring five year housing land supply, or the Housing Delivery Test, against a figure which is neither the adopted housing requirement nor the local housing need figure</w:t>
      </w:r>
      <w:r w:rsidRPr="008E2F35">
        <w:rPr>
          <w:sz w:val="24"/>
          <w:szCs w:val="24"/>
          <w:lang w:val="en-US"/>
        </w:rPr>
        <w:t xml:space="preserve">;  </w:t>
      </w:r>
    </w:p>
    <w:p w14:paraId="24344E12" w14:textId="77777777" w:rsidR="0080371B" w:rsidRPr="006D5B22" w:rsidRDefault="0080371B" w:rsidP="00AA1EB5">
      <w:pPr>
        <w:pStyle w:val="ListParagraph"/>
        <w:spacing w:after="0"/>
        <w:ind w:left="993" w:hanging="426"/>
        <w:rPr>
          <w:sz w:val="24"/>
          <w:szCs w:val="24"/>
          <w:lang w:val="en-US"/>
        </w:rPr>
      </w:pPr>
    </w:p>
    <w:p w14:paraId="04D46899" w14:textId="6B04B48E" w:rsidR="008B16DE" w:rsidRDefault="006D5B22" w:rsidP="00AA1EB5">
      <w:pPr>
        <w:pStyle w:val="ListParagraph"/>
        <w:numPr>
          <w:ilvl w:val="0"/>
          <w:numId w:val="14"/>
        </w:numPr>
        <w:spacing w:after="0"/>
        <w:ind w:left="993" w:hanging="426"/>
        <w:rPr>
          <w:sz w:val="24"/>
          <w:szCs w:val="24"/>
          <w:lang w:val="en-US"/>
        </w:rPr>
      </w:pPr>
      <w:r w:rsidRPr="006D5B22">
        <w:rPr>
          <w:sz w:val="24"/>
          <w:szCs w:val="24"/>
          <w:lang w:val="en-US"/>
        </w:rPr>
        <w:t xml:space="preserve">The evidence base </w:t>
      </w:r>
      <w:r w:rsidR="0080371B">
        <w:rPr>
          <w:sz w:val="24"/>
          <w:szCs w:val="24"/>
          <w:lang w:val="en-US"/>
        </w:rPr>
        <w:t xml:space="preserve">is insufficient and is not </w:t>
      </w:r>
      <w:r w:rsidRPr="006D5B22">
        <w:rPr>
          <w:sz w:val="24"/>
          <w:szCs w:val="24"/>
          <w:lang w:val="en-US"/>
        </w:rPr>
        <w:t>robust enough to justify the approach being taken</w:t>
      </w:r>
      <w:r w:rsidR="0080371B">
        <w:rPr>
          <w:sz w:val="24"/>
          <w:szCs w:val="24"/>
          <w:lang w:val="en-US"/>
        </w:rPr>
        <w:t>; the Iceni report is only a draft and is still being consulted on</w:t>
      </w:r>
      <w:r w:rsidR="008C7275">
        <w:rPr>
          <w:sz w:val="24"/>
          <w:szCs w:val="24"/>
          <w:lang w:val="en-US"/>
        </w:rPr>
        <w:t xml:space="preserve"> (Issues and Options)</w:t>
      </w:r>
      <w:r w:rsidR="0080371B">
        <w:rPr>
          <w:sz w:val="24"/>
          <w:szCs w:val="24"/>
          <w:lang w:val="en-US"/>
        </w:rPr>
        <w:t xml:space="preserve">; and </w:t>
      </w:r>
      <w:r w:rsidRPr="006D5B22">
        <w:rPr>
          <w:sz w:val="24"/>
          <w:szCs w:val="24"/>
          <w:lang w:val="en-US"/>
        </w:rPr>
        <w:t xml:space="preserve">further work / evidence </w:t>
      </w:r>
      <w:r w:rsidR="0085600C">
        <w:rPr>
          <w:sz w:val="24"/>
          <w:szCs w:val="24"/>
          <w:lang w:val="en-US"/>
        </w:rPr>
        <w:t xml:space="preserve">and viability testing </w:t>
      </w:r>
      <w:r w:rsidRPr="006D5B22">
        <w:rPr>
          <w:sz w:val="24"/>
          <w:szCs w:val="24"/>
          <w:lang w:val="en-US"/>
        </w:rPr>
        <w:t>is required</w:t>
      </w:r>
      <w:r w:rsidR="0080371B">
        <w:rPr>
          <w:sz w:val="24"/>
          <w:szCs w:val="24"/>
          <w:lang w:val="en-US"/>
        </w:rPr>
        <w:t xml:space="preserve"> before an</w:t>
      </w:r>
      <w:r w:rsidR="008B16DE">
        <w:rPr>
          <w:sz w:val="24"/>
          <w:szCs w:val="24"/>
          <w:lang w:val="en-US"/>
        </w:rPr>
        <w:t xml:space="preserve"> informed </w:t>
      </w:r>
      <w:r w:rsidR="0080371B">
        <w:rPr>
          <w:sz w:val="24"/>
          <w:szCs w:val="24"/>
          <w:lang w:val="en-US"/>
        </w:rPr>
        <w:t>decision about the amount, distribution</w:t>
      </w:r>
      <w:r w:rsidR="002615E6">
        <w:rPr>
          <w:sz w:val="24"/>
          <w:szCs w:val="24"/>
          <w:lang w:val="en-US"/>
        </w:rPr>
        <w:t xml:space="preserve">, type and tenure </w:t>
      </w:r>
      <w:r w:rsidR="0080371B">
        <w:rPr>
          <w:sz w:val="24"/>
          <w:szCs w:val="24"/>
          <w:lang w:val="en-US"/>
        </w:rPr>
        <w:t>of housing required can be made</w:t>
      </w:r>
      <w:r w:rsidRPr="006D5B22">
        <w:rPr>
          <w:sz w:val="24"/>
          <w:szCs w:val="24"/>
          <w:lang w:val="en-US"/>
        </w:rPr>
        <w:t>;</w:t>
      </w:r>
    </w:p>
    <w:p w14:paraId="60076EC8" w14:textId="77777777" w:rsidR="003D517D" w:rsidRDefault="003D517D" w:rsidP="00AA1EB5">
      <w:pPr>
        <w:pStyle w:val="ListParagraph"/>
        <w:spacing w:after="0"/>
        <w:ind w:left="993" w:hanging="426"/>
        <w:rPr>
          <w:sz w:val="24"/>
          <w:szCs w:val="24"/>
          <w:lang w:val="en-US"/>
        </w:rPr>
      </w:pPr>
    </w:p>
    <w:p w14:paraId="0B32E88F" w14:textId="7EC11EED" w:rsidR="003D517D" w:rsidRDefault="003D517D" w:rsidP="00AA1EB5">
      <w:pPr>
        <w:pStyle w:val="ListParagraph"/>
        <w:numPr>
          <w:ilvl w:val="0"/>
          <w:numId w:val="14"/>
        </w:numPr>
        <w:spacing w:after="0"/>
        <w:ind w:left="993" w:hanging="426"/>
        <w:rPr>
          <w:sz w:val="24"/>
          <w:szCs w:val="24"/>
          <w:lang w:val="en-US"/>
        </w:rPr>
      </w:pPr>
      <w:r>
        <w:rPr>
          <w:sz w:val="24"/>
          <w:szCs w:val="24"/>
          <w:lang w:val="en-US"/>
        </w:rPr>
        <w:t>T</w:t>
      </w:r>
      <w:r w:rsidRPr="003D517D">
        <w:rPr>
          <w:sz w:val="24"/>
          <w:szCs w:val="24"/>
          <w:lang w:val="en-US"/>
        </w:rPr>
        <w:t>he Housing Study prepared by Iceni is not fit for purpose and should not be relied upon to set the overall housing requirement</w:t>
      </w:r>
      <w:r>
        <w:rPr>
          <w:sz w:val="24"/>
          <w:szCs w:val="24"/>
          <w:lang w:val="en-US"/>
        </w:rPr>
        <w:t>;</w:t>
      </w:r>
    </w:p>
    <w:p w14:paraId="1849702F" w14:textId="77777777" w:rsidR="0080371B" w:rsidRPr="006D5B22" w:rsidRDefault="0080371B" w:rsidP="00AA1EB5">
      <w:pPr>
        <w:pStyle w:val="ListParagraph"/>
        <w:spacing w:after="0"/>
        <w:ind w:left="993" w:hanging="426"/>
        <w:rPr>
          <w:sz w:val="24"/>
          <w:szCs w:val="24"/>
          <w:lang w:val="en-US"/>
        </w:rPr>
      </w:pPr>
    </w:p>
    <w:p w14:paraId="66E0A14D" w14:textId="7C376ED6" w:rsidR="006D5B22" w:rsidRDefault="006D5B22" w:rsidP="00AA1EB5">
      <w:pPr>
        <w:pStyle w:val="ListParagraph"/>
        <w:numPr>
          <w:ilvl w:val="0"/>
          <w:numId w:val="14"/>
        </w:numPr>
        <w:spacing w:after="0"/>
        <w:ind w:left="993" w:hanging="426"/>
        <w:rPr>
          <w:sz w:val="24"/>
          <w:szCs w:val="24"/>
          <w:lang w:val="en-US"/>
        </w:rPr>
      </w:pPr>
      <w:r w:rsidRPr="006D5B22">
        <w:rPr>
          <w:sz w:val="24"/>
          <w:szCs w:val="24"/>
          <w:lang w:val="en-US"/>
        </w:rPr>
        <w:t xml:space="preserve">The </w:t>
      </w:r>
      <w:r w:rsidR="008B16DE">
        <w:rPr>
          <w:sz w:val="24"/>
          <w:szCs w:val="24"/>
          <w:lang w:val="en-US"/>
        </w:rPr>
        <w:t xml:space="preserve">standard method is only a minimum figure, and </w:t>
      </w:r>
      <w:r w:rsidRPr="006D5B22">
        <w:rPr>
          <w:sz w:val="24"/>
          <w:szCs w:val="24"/>
          <w:lang w:val="en-US"/>
        </w:rPr>
        <w:t>Central Lancashire housing need is higher than the overall figure being proposed using the methodology referred to above, especially</w:t>
      </w:r>
      <w:r w:rsidR="00960E73">
        <w:rPr>
          <w:sz w:val="24"/>
          <w:szCs w:val="24"/>
          <w:lang w:val="en-US"/>
        </w:rPr>
        <w:t xml:space="preserve"> given the </w:t>
      </w:r>
      <w:r w:rsidR="008B16DE">
        <w:rPr>
          <w:sz w:val="24"/>
          <w:szCs w:val="24"/>
          <w:lang w:val="en-US"/>
        </w:rPr>
        <w:t xml:space="preserve">growth strategies </w:t>
      </w:r>
      <w:r w:rsidRPr="006D5B22">
        <w:rPr>
          <w:sz w:val="24"/>
          <w:szCs w:val="24"/>
          <w:lang w:val="en-US"/>
        </w:rPr>
        <w:t xml:space="preserve">and other strategic infrastructure </w:t>
      </w:r>
      <w:r w:rsidR="00BC501A">
        <w:rPr>
          <w:sz w:val="24"/>
          <w:szCs w:val="24"/>
          <w:lang w:val="en-US"/>
        </w:rPr>
        <w:t xml:space="preserve">improvements </w:t>
      </w:r>
      <w:r w:rsidR="0080371B">
        <w:rPr>
          <w:sz w:val="24"/>
          <w:szCs w:val="24"/>
          <w:lang w:val="en-US"/>
        </w:rPr>
        <w:t>in the area</w:t>
      </w:r>
      <w:r w:rsidR="008B16DE">
        <w:rPr>
          <w:sz w:val="24"/>
          <w:szCs w:val="24"/>
          <w:lang w:val="en-US"/>
        </w:rPr>
        <w:t xml:space="preserve"> (such as City Deal)</w:t>
      </w:r>
      <w:r w:rsidR="00AE05B4">
        <w:rPr>
          <w:sz w:val="24"/>
          <w:szCs w:val="24"/>
          <w:lang w:val="en-US"/>
        </w:rPr>
        <w:t xml:space="preserve"> and is not compatible with </w:t>
      </w:r>
      <w:r w:rsidR="00A319F6">
        <w:rPr>
          <w:sz w:val="24"/>
          <w:szCs w:val="24"/>
          <w:lang w:val="en-US"/>
        </w:rPr>
        <w:t>planned economic growth</w:t>
      </w:r>
      <w:r w:rsidRPr="006D5B22">
        <w:rPr>
          <w:sz w:val="24"/>
          <w:szCs w:val="24"/>
          <w:lang w:val="en-US"/>
        </w:rPr>
        <w:t>;</w:t>
      </w:r>
    </w:p>
    <w:p w14:paraId="6F6BA953" w14:textId="77777777" w:rsidR="00457580" w:rsidRDefault="00457580" w:rsidP="00AA1EB5">
      <w:pPr>
        <w:pStyle w:val="ListParagraph"/>
        <w:spacing w:after="0"/>
        <w:ind w:left="993" w:hanging="426"/>
        <w:rPr>
          <w:sz w:val="24"/>
          <w:szCs w:val="24"/>
          <w:lang w:val="en-US"/>
        </w:rPr>
      </w:pPr>
    </w:p>
    <w:p w14:paraId="56EE4A5B" w14:textId="18D215DA" w:rsidR="00457580" w:rsidRDefault="00457580" w:rsidP="00AA1EB5">
      <w:pPr>
        <w:pStyle w:val="ListParagraph"/>
        <w:numPr>
          <w:ilvl w:val="0"/>
          <w:numId w:val="14"/>
        </w:numPr>
        <w:spacing w:after="0"/>
        <w:ind w:left="993" w:hanging="426"/>
        <w:rPr>
          <w:sz w:val="24"/>
          <w:szCs w:val="24"/>
          <w:lang w:val="en-US"/>
        </w:rPr>
      </w:pPr>
      <w:r w:rsidRPr="00457580">
        <w:rPr>
          <w:sz w:val="24"/>
          <w:szCs w:val="24"/>
          <w:lang w:val="en-US"/>
        </w:rPr>
        <w:t xml:space="preserve">The PPG is clear that any alternative approach which results in a lower housing need figure </w:t>
      </w:r>
      <w:r>
        <w:rPr>
          <w:sz w:val="24"/>
          <w:szCs w:val="24"/>
          <w:lang w:val="en-US"/>
        </w:rPr>
        <w:t xml:space="preserve">for a local authority </w:t>
      </w:r>
      <w:r w:rsidRPr="00457580">
        <w:rPr>
          <w:sz w:val="24"/>
          <w:szCs w:val="24"/>
          <w:lang w:val="en-US"/>
        </w:rPr>
        <w:t>than the standard method should be considered unsound as it does not meet the minimum housing need required</w:t>
      </w:r>
      <w:r w:rsidR="00A60587">
        <w:rPr>
          <w:sz w:val="24"/>
          <w:szCs w:val="24"/>
          <w:lang w:val="en-US"/>
        </w:rPr>
        <w:t xml:space="preserve"> (e.g. Chorley);</w:t>
      </w:r>
    </w:p>
    <w:p w14:paraId="4E9D1A58" w14:textId="77777777" w:rsidR="006468DB" w:rsidRDefault="006468DB" w:rsidP="00AA1EB5">
      <w:pPr>
        <w:pStyle w:val="ListParagraph"/>
        <w:spacing w:after="0"/>
        <w:ind w:left="993" w:hanging="426"/>
        <w:rPr>
          <w:sz w:val="24"/>
          <w:szCs w:val="24"/>
          <w:lang w:val="en-US"/>
        </w:rPr>
      </w:pPr>
    </w:p>
    <w:p w14:paraId="72E60BC1" w14:textId="25DC6502" w:rsidR="006468DB" w:rsidRDefault="006468DB" w:rsidP="00AA1EB5">
      <w:pPr>
        <w:pStyle w:val="ListParagraph"/>
        <w:numPr>
          <w:ilvl w:val="0"/>
          <w:numId w:val="14"/>
        </w:numPr>
        <w:spacing w:after="0"/>
        <w:ind w:left="993" w:hanging="426"/>
        <w:rPr>
          <w:sz w:val="24"/>
          <w:szCs w:val="24"/>
          <w:lang w:val="en-US"/>
        </w:rPr>
      </w:pPr>
      <w:r>
        <w:rPr>
          <w:sz w:val="24"/>
          <w:szCs w:val="24"/>
          <w:lang w:val="en-US"/>
        </w:rPr>
        <w:t xml:space="preserve">The local housing need  </w:t>
      </w:r>
      <w:r w:rsidRPr="006468DB">
        <w:rPr>
          <w:sz w:val="24"/>
          <w:szCs w:val="24"/>
          <w:lang w:val="en-US"/>
        </w:rPr>
        <w:t xml:space="preserve">figure shows a reduction from the Core Strategy requirements of 1,341 to 1,026 (a 24% reduction). </w:t>
      </w:r>
      <w:r w:rsidR="002615E6">
        <w:rPr>
          <w:sz w:val="24"/>
          <w:szCs w:val="24"/>
          <w:lang w:val="en-US"/>
        </w:rPr>
        <w:t>T</w:t>
      </w:r>
      <w:r w:rsidRPr="006468DB">
        <w:rPr>
          <w:sz w:val="24"/>
          <w:szCs w:val="24"/>
          <w:lang w:val="en-US"/>
        </w:rPr>
        <w:t xml:space="preserve">his is not contributing the </w:t>
      </w:r>
      <w:r w:rsidRPr="006468DB">
        <w:rPr>
          <w:sz w:val="24"/>
          <w:szCs w:val="24"/>
          <w:lang w:val="en-US"/>
        </w:rPr>
        <w:lastRenderedPageBreak/>
        <w:t>Government’s aim of ‘boosting the supply of housing’, in fact it is planning for significantly less housing and contrary to the Government’s ambitions.</w:t>
      </w:r>
    </w:p>
    <w:p w14:paraId="348724D5" w14:textId="77777777" w:rsidR="00DF1C8D" w:rsidRDefault="00DF1C8D" w:rsidP="00AA1EB5">
      <w:pPr>
        <w:pStyle w:val="ListParagraph"/>
        <w:spacing w:after="0"/>
        <w:ind w:left="993" w:hanging="426"/>
        <w:rPr>
          <w:sz w:val="24"/>
          <w:szCs w:val="24"/>
          <w:lang w:val="en-US"/>
        </w:rPr>
      </w:pPr>
    </w:p>
    <w:p w14:paraId="3A66B493" w14:textId="4E2054E2" w:rsidR="00DF1C8D" w:rsidRDefault="00DF1C8D" w:rsidP="00AA1EB5">
      <w:pPr>
        <w:pStyle w:val="ListParagraph"/>
        <w:numPr>
          <w:ilvl w:val="0"/>
          <w:numId w:val="14"/>
        </w:numPr>
        <w:spacing w:after="0"/>
        <w:ind w:left="993" w:hanging="426"/>
        <w:rPr>
          <w:sz w:val="24"/>
          <w:szCs w:val="24"/>
          <w:lang w:val="en-US"/>
        </w:rPr>
      </w:pPr>
      <w:r w:rsidRPr="00DF1C8D">
        <w:rPr>
          <w:sz w:val="24"/>
          <w:szCs w:val="24"/>
          <w:lang w:val="en-US"/>
        </w:rPr>
        <w:t>Since 2010, the Central Lancashire authorities have under-deliver</w:t>
      </w:r>
      <w:r>
        <w:rPr>
          <w:sz w:val="24"/>
          <w:szCs w:val="24"/>
          <w:lang w:val="en-US"/>
        </w:rPr>
        <w:t>ed</w:t>
      </w:r>
      <w:r w:rsidRPr="00DF1C8D">
        <w:rPr>
          <w:sz w:val="24"/>
          <w:szCs w:val="24"/>
          <w:lang w:val="en-US"/>
        </w:rPr>
        <w:t xml:space="preserve">; </w:t>
      </w:r>
      <w:r>
        <w:rPr>
          <w:sz w:val="24"/>
          <w:szCs w:val="24"/>
          <w:lang w:val="en-US"/>
        </w:rPr>
        <w:t>so the Co</w:t>
      </w:r>
      <w:r w:rsidRPr="00DF1C8D">
        <w:rPr>
          <w:sz w:val="24"/>
          <w:szCs w:val="24"/>
          <w:lang w:val="en-US"/>
        </w:rPr>
        <w:t>uncils should be looking to achieve a higher housing requirement above the Core Strategy figures to take any shortfall into account.</w:t>
      </w:r>
    </w:p>
    <w:p w14:paraId="004B9F40" w14:textId="77777777" w:rsidR="00DF1C8D" w:rsidRDefault="00DF1C8D" w:rsidP="00AA1EB5">
      <w:pPr>
        <w:pStyle w:val="ListParagraph"/>
        <w:spacing w:after="0"/>
        <w:ind w:left="993" w:hanging="426"/>
        <w:rPr>
          <w:sz w:val="24"/>
          <w:szCs w:val="24"/>
          <w:lang w:val="en-US"/>
        </w:rPr>
      </w:pPr>
    </w:p>
    <w:p w14:paraId="3368D3A4" w14:textId="10FDB8F9" w:rsidR="00A60587" w:rsidRDefault="00A60587" w:rsidP="00AA1EB5">
      <w:pPr>
        <w:pStyle w:val="ListParagraph"/>
        <w:numPr>
          <w:ilvl w:val="0"/>
          <w:numId w:val="14"/>
        </w:numPr>
        <w:spacing w:after="0"/>
        <w:ind w:left="993" w:hanging="426"/>
        <w:rPr>
          <w:sz w:val="24"/>
          <w:szCs w:val="24"/>
          <w:lang w:val="en-US"/>
        </w:rPr>
      </w:pPr>
      <w:r>
        <w:rPr>
          <w:sz w:val="24"/>
          <w:szCs w:val="24"/>
          <w:lang w:val="en-US"/>
        </w:rPr>
        <w:t>T</w:t>
      </w:r>
      <w:r w:rsidRPr="00A60587">
        <w:rPr>
          <w:sz w:val="24"/>
          <w:szCs w:val="24"/>
          <w:lang w:val="en-US"/>
        </w:rPr>
        <w:t xml:space="preserve">he Central Lancashire Authorities should be looking to increase the housing requirement in South Ribble and Preston, and as a result the </w:t>
      </w:r>
      <w:r w:rsidR="002615E6">
        <w:rPr>
          <w:sz w:val="24"/>
          <w:szCs w:val="24"/>
          <w:lang w:val="en-US"/>
        </w:rPr>
        <w:t xml:space="preserve">housing market area as </w:t>
      </w:r>
      <w:r w:rsidRPr="00A60587">
        <w:rPr>
          <w:sz w:val="24"/>
          <w:szCs w:val="24"/>
          <w:lang w:val="en-US"/>
        </w:rPr>
        <w:t>a whole, above the outcome of the standard method, rather than directing housing away from Chorley</w:t>
      </w:r>
      <w:r w:rsidR="00026B54">
        <w:rPr>
          <w:sz w:val="24"/>
          <w:szCs w:val="24"/>
          <w:lang w:val="en-US"/>
        </w:rPr>
        <w:t>,</w:t>
      </w:r>
      <w:r w:rsidR="00026B54" w:rsidRPr="00026B54">
        <w:t xml:space="preserve"> </w:t>
      </w:r>
      <w:r w:rsidR="00026B54">
        <w:t xml:space="preserve">which </w:t>
      </w:r>
      <w:r w:rsidR="00026B54" w:rsidRPr="00026B54">
        <w:rPr>
          <w:sz w:val="24"/>
          <w:szCs w:val="24"/>
          <w:lang w:val="en-US"/>
        </w:rPr>
        <w:t>does not meet its own objectively assessed need by a significant margin</w:t>
      </w:r>
      <w:r w:rsidR="00051087">
        <w:rPr>
          <w:sz w:val="24"/>
          <w:szCs w:val="24"/>
          <w:lang w:val="en-US"/>
        </w:rPr>
        <w:t xml:space="preserve"> (the housing needs of Chorley in particular are much higher than the distribution proposes)</w:t>
      </w:r>
      <w:r w:rsidR="00026B54" w:rsidRPr="00026B54">
        <w:rPr>
          <w:sz w:val="24"/>
          <w:szCs w:val="24"/>
          <w:lang w:val="en-US"/>
        </w:rPr>
        <w:t xml:space="preserve">; </w:t>
      </w:r>
    </w:p>
    <w:p w14:paraId="40FE1B5D" w14:textId="77777777" w:rsidR="00D04D7A" w:rsidRDefault="00D04D7A" w:rsidP="00AA1EB5">
      <w:pPr>
        <w:pStyle w:val="ListParagraph"/>
        <w:spacing w:after="0"/>
        <w:ind w:left="993" w:hanging="426"/>
        <w:rPr>
          <w:sz w:val="24"/>
          <w:szCs w:val="24"/>
          <w:lang w:val="en-US"/>
        </w:rPr>
      </w:pPr>
    </w:p>
    <w:p w14:paraId="57A905CB" w14:textId="634733E0" w:rsidR="00D04D7A" w:rsidRDefault="00D04D7A" w:rsidP="00AA1EB5">
      <w:pPr>
        <w:pStyle w:val="ListParagraph"/>
        <w:numPr>
          <w:ilvl w:val="0"/>
          <w:numId w:val="14"/>
        </w:numPr>
        <w:spacing w:after="0"/>
        <w:ind w:left="993" w:hanging="426"/>
        <w:rPr>
          <w:sz w:val="24"/>
          <w:szCs w:val="24"/>
          <w:lang w:val="en-US"/>
        </w:rPr>
      </w:pPr>
      <w:r>
        <w:rPr>
          <w:sz w:val="24"/>
          <w:szCs w:val="24"/>
          <w:lang w:val="en-US"/>
        </w:rPr>
        <w:t xml:space="preserve">The distribution does not </w:t>
      </w:r>
      <w:r w:rsidRPr="00D04D7A">
        <w:rPr>
          <w:sz w:val="24"/>
          <w:szCs w:val="24"/>
          <w:lang w:val="en-US"/>
        </w:rPr>
        <w:t>reflect</w:t>
      </w:r>
      <w:r>
        <w:rPr>
          <w:sz w:val="24"/>
          <w:szCs w:val="24"/>
          <w:lang w:val="en-US"/>
        </w:rPr>
        <w:t xml:space="preserve"> </w:t>
      </w:r>
      <w:r w:rsidRPr="00D04D7A">
        <w:rPr>
          <w:sz w:val="24"/>
          <w:szCs w:val="24"/>
          <w:lang w:val="en-US"/>
        </w:rPr>
        <w:t xml:space="preserve">how the Central Lancashire </w:t>
      </w:r>
      <w:r w:rsidR="00051087">
        <w:rPr>
          <w:sz w:val="24"/>
          <w:szCs w:val="24"/>
          <w:lang w:val="en-US"/>
        </w:rPr>
        <w:t xml:space="preserve">housing </w:t>
      </w:r>
      <w:r w:rsidRPr="00D04D7A">
        <w:rPr>
          <w:sz w:val="24"/>
          <w:szCs w:val="24"/>
          <w:lang w:val="en-US"/>
        </w:rPr>
        <w:t xml:space="preserve">market operates, </w:t>
      </w:r>
      <w:r>
        <w:rPr>
          <w:sz w:val="24"/>
          <w:szCs w:val="24"/>
          <w:lang w:val="en-US"/>
        </w:rPr>
        <w:t xml:space="preserve">in terms of </w:t>
      </w:r>
      <w:r w:rsidRPr="00D04D7A">
        <w:rPr>
          <w:sz w:val="24"/>
          <w:szCs w:val="24"/>
          <w:lang w:val="en-US"/>
        </w:rPr>
        <w:t xml:space="preserve">house price and migration data, and affordability </w:t>
      </w:r>
      <w:r>
        <w:rPr>
          <w:sz w:val="24"/>
          <w:szCs w:val="24"/>
          <w:lang w:val="en-US"/>
        </w:rPr>
        <w:t>ratios.</w:t>
      </w:r>
      <w:r w:rsidR="002535BB" w:rsidRPr="002535BB">
        <w:t xml:space="preserve"> </w:t>
      </w:r>
      <w:r w:rsidR="002535BB">
        <w:t>T</w:t>
      </w:r>
      <w:r w:rsidR="002535BB" w:rsidRPr="002535BB">
        <w:rPr>
          <w:sz w:val="24"/>
          <w:szCs w:val="24"/>
          <w:lang w:val="en-US"/>
        </w:rPr>
        <w:t xml:space="preserve">he </w:t>
      </w:r>
      <w:r w:rsidR="00580B97" w:rsidRPr="00580B97">
        <w:rPr>
          <w:sz w:val="24"/>
          <w:szCs w:val="24"/>
          <w:lang w:val="en-US"/>
        </w:rPr>
        <w:t>market and affordable housing needs in Chorley</w:t>
      </w:r>
      <w:r w:rsidR="00580B97">
        <w:rPr>
          <w:sz w:val="24"/>
          <w:szCs w:val="24"/>
          <w:lang w:val="en-US"/>
        </w:rPr>
        <w:t>, including the</w:t>
      </w:r>
      <w:r w:rsidR="00580B97" w:rsidRPr="00580B97">
        <w:rPr>
          <w:sz w:val="24"/>
          <w:szCs w:val="24"/>
          <w:lang w:val="en-US"/>
        </w:rPr>
        <w:t xml:space="preserve"> </w:t>
      </w:r>
      <w:r w:rsidR="002535BB" w:rsidRPr="002535BB">
        <w:rPr>
          <w:sz w:val="24"/>
          <w:szCs w:val="24"/>
          <w:lang w:val="en-US"/>
        </w:rPr>
        <w:t xml:space="preserve">needs of </w:t>
      </w:r>
      <w:r w:rsidR="006C1B13">
        <w:rPr>
          <w:sz w:val="24"/>
          <w:szCs w:val="24"/>
          <w:lang w:val="en-US"/>
        </w:rPr>
        <w:t xml:space="preserve">specific </w:t>
      </w:r>
      <w:r w:rsidR="002535BB" w:rsidRPr="002535BB">
        <w:rPr>
          <w:sz w:val="24"/>
          <w:szCs w:val="24"/>
          <w:lang w:val="en-US"/>
        </w:rPr>
        <w:t>groups with specific housing requirements</w:t>
      </w:r>
      <w:r w:rsidR="00580B97">
        <w:rPr>
          <w:sz w:val="24"/>
          <w:szCs w:val="24"/>
          <w:lang w:val="en-US"/>
        </w:rPr>
        <w:t>,</w:t>
      </w:r>
      <w:r w:rsidR="002535BB" w:rsidRPr="002535BB">
        <w:rPr>
          <w:sz w:val="24"/>
          <w:szCs w:val="24"/>
          <w:lang w:val="en-US"/>
        </w:rPr>
        <w:t xml:space="preserve"> </w:t>
      </w:r>
      <w:r w:rsidR="0085600C">
        <w:rPr>
          <w:sz w:val="24"/>
          <w:szCs w:val="24"/>
          <w:lang w:val="en-US"/>
        </w:rPr>
        <w:t>are</w:t>
      </w:r>
      <w:r w:rsidR="002535BB">
        <w:rPr>
          <w:sz w:val="24"/>
          <w:szCs w:val="24"/>
          <w:lang w:val="en-US"/>
        </w:rPr>
        <w:t xml:space="preserve"> not be </w:t>
      </w:r>
      <w:r w:rsidR="002535BB" w:rsidRPr="002535BB">
        <w:rPr>
          <w:sz w:val="24"/>
          <w:szCs w:val="24"/>
          <w:lang w:val="en-US"/>
        </w:rPr>
        <w:t>addressed</w:t>
      </w:r>
      <w:r w:rsidR="002615E6">
        <w:rPr>
          <w:sz w:val="24"/>
          <w:szCs w:val="24"/>
          <w:lang w:val="en-US"/>
        </w:rPr>
        <w:t xml:space="preserve">.  Further, </w:t>
      </w:r>
      <w:r w:rsidR="002615E6" w:rsidRPr="002615E6">
        <w:rPr>
          <w:sz w:val="24"/>
          <w:szCs w:val="24"/>
          <w:lang w:val="en-US"/>
        </w:rPr>
        <w:t>Chorley’s affordable housing need should be met in Chorley and redistributing the housing requirement to Preston and South Ribble will not address Chorley’s housing need</w:t>
      </w:r>
      <w:r w:rsidR="002615E6">
        <w:rPr>
          <w:sz w:val="24"/>
          <w:szCs w:val="24"/>
          <w:lang w:val="en-US"/>
        </w:rPr>
        <w:t>;</w:t>
      </w:r>
    </w:p>
    <w:p w14:paraId="0DDD561E" w14:textId="77777777" w:rsidR="00051087" w:rsidRDefault="00051087" w:rsidP="00AA1EB5">
      <w:pPr>
        <w:pStyle w:val="ListParagraph"/>
        <w:spacing w:after="0"/>
        <w:ind w:left="993" w:hanging="426"/>
        <w:rPr>
          <w:sz w:val="24"/>
          <w:szCs w:val="24"/>
          <w:lang w:val="en-US"/>
        </w:rPr>
      </w:pPr>
    </w:p>
    <w:p w14:paraId="04044133" w14:textId="23AFD041" w:rsidR="00051087" w:rsidRDefault="006C1B13" w:rsidP="00AA1EB5">
      <w:pPr>
        <w:pStyle w:val="ListParagraph"/>
        <w:numPr>
          <w:ilvl w:val="0"/>
          <w:numId w:val="14"/>
        </w:numPr>
        <w:spacing w:after="0"/>
        <w:ind w:left="993" w:hanging="426"/>
        <w:rPr>
          <w:sz w:val="24"/>
          <w:szCs w:val="24"/>
          <w:lang w:val="en-US"/>
        </w:rPr>
      </w:pPr>
      <w:r>
        <w:rPr>
          <w:sz w:val="24"/>
          <w:szCs w:val="24"/>
          <w:lang w:val="en-US"/>
        </w:rPr>
        <w:t xml:space="preserve">Housing need should not assess land availability, which is a separate process. </w:t>
      </w:r>
      <w:r w:rsidR="00051087" w:rsidRPr="00051087">
        <w:rPr>
          <w:sz w:val="24"/>
          <w:szCs w:val="24"/>
          <w:lang w:val="en-US"/>
        </w:rPr>
        <w:t>A distribution based largely on the availability of housing land does not accurately and robustly reflect the need for housing across the three areas for the future</w:t>
      </w:r>
      <w:r w:rsidR="00051087">
        <w:rPr>
          <w:sz w:val="24"/>
          <w:szCs w:val="24"/>
          <w:lang w:val="en-US"/>
        </w:rPr>
        <w:t>.</w:t>
      </w:r>
    </w:p>
    <w:p w14:paraId="3BAF484E" w14:textId="77777777" w:rsidR="0080371B" w:rsidRPr="006D5B22" w:rsidRDefault="0080371B" w:rsidP="00AA1EB5">
      <w:pPr>
        <w:pStyle w:val="ListParagraph"/>
        <w:spacing w:after="0"/>
        <w:ind w:left="993" w:hanging="426"/>
        <w:rPr>
          <w:sz w:val="24"/>
          <w:szCs w:val="24"/>
          <w:lang w:val="en-US"/>
        </w:rPr>
      </w:pPr>
    </w:p>
    <w:p w14:paraId="704F8660" w14:textId="772A12D4" w:rsidR="00D04D7A" w:rsidRDefault="008B16DE" w:rsidP="00AA1EB5">
      <w:pPr>
        <w:pStyle w:val="ListParagraph"/>
        <w:numPr>
          <w:ilvl w:val="0"/>
          <w:numId w:val="14"/>
        </w:numPr>
        <w:ind w:left="993" w:hanging="426"/>
        <w:rPr>
          <w:sz w:val="24"/>
          <w:szCs w:val="24"/>
          <w:lang w:val="en-US"/>
        </w:rPr>
      </w:pPr>
      <w:r w:rsidRPr="008B16DE">
        <w:rPr>
          <w:sz w:val="24"/>
          <w:szCs w:val="24"/>
          <w:lang w:val="en-US"/>
        </w:rPr>
        <w:t>The recent SHMA was only published two years ago and</w:t>
      </w:r>
      <w:r w:rsidR="00D04D7A">
        <w:rPr>
          <w:sz w:val="24"/>
          <w:szCs w:val="24"/>
          <w:lang w:val="en-US"/>
        </w:rPr>
        <w:t xml:space="preserve"> t</w:t>
      </w:r>
      <w:r w:rsidRPr="008B16DE">
        <w:rPr>
          <w:sz w:val="24"/>
          <w:szCs w:val="24"/>
          <w:lang w:val="en-US"/>
        </w:rPr>
        <w:t>he housing needs in the area are significantly greater than the outcome of the standard method</w:t>
      </w:r>
      <w:r w:rsidR="00001501">
        <w:rPr>
          <w:sz w:val="24"/>
          <w:szCs w:val="24"/>
          <w:lang w:val="en-US"/>
        </w:rPr>
        <w:t>;</w:t>
      </w:r>
      <w:r w:rsidR="00D04D7A">
        <w:rPr>
          <w:sz w:val="24"/>
          <w:szCs w:val="24"/>
          <w:lang w:val="en-US"/>
        </w:rPr>
        <w:t xml:space="preserve"> </w:t>
      </w:r>
    </w:p>
    <w:p w14:paraId="24214CAC" w14:textId="77777777" w:rsidR="00D04D7A" w:rsidRDefault="00D04D7A" w:rsidP="00AA1EB5">
      <w:pPr>
        <w:pStyle w:val="ListParagraph"/>
        <w:ind w:left="993" w:hanging="426"/>
        <w:rPr>
          <w:sz w:val="24"/>
          <w:szCs w:val="24"/>
          <w:lang w:val="en-US"/>
        </w:rPr>
      </w:pPr>
    </w:p>
    <w:p w14:paraId="7C754D74" w14:textId="0DA1FE40" w:rsidR="008B16DE" w:rsidRDefault="00D04D7A" w:rsidP="00AA1EB5">
      <w:pPr>
        <w:pStyle w:val="ListParagraph"/>
        <w:numPr>
          <w:ilvl w:val="0"/>
          <w:numId w:val="14"/>
        </w:numPr>
        <w:ind w:left="993" w:hanging="426"/>
        <w:rPr>
          <w:sz w:val="24"/>
          <w:szCs w:val="24"/>
          <w:lang w:val="en-US"/>
        </w:rPr>
      </w:pPr>
      <w:r>
        <w:rPr>
          <w:sz w:val="24"/>
          <w:szCs w:val="24"/>
          <w:lang w:val="en-US"/>
        </w:rPr>
        <w:t xml:space="preserve">The 2017 SHMA is </w:t>
      </w:r>
      <w:r w:rsidR="001072A1">
        <w:rPr>
          <w:sz w:val="24"/>
          <w:szCs w:val="24"/>
          <w:lang w:val="en-US"/>
        </w:rPr>
        <w:t xml:space="preserve">now </w:t>
      </w:r>
      <w:r>
        <w:rPr>
          <w:sz w:val="24"/>
          <w:szCs w:val="24"/>
          <w:lang w:val="en-US"/>
        </w:rPr>
        <w:t>out of date</w:t>
      </w:r>
      <w:r w:rsidR="00026B54">
        <w:rPr>
          <w:sz w:val="24"/>
          <w:szCs w:val="24"/>
          <w:lang w:val="en-US"/>
        </w:rPr>
        <w:t>;</w:t>
      </w:r>
    </w:p>
    <w:p w14:paraId="765E9AD8" w14:textId="77777777" w:rsidR="00960E73" w:rsidRPr="008B16DE" w:rsidRDefault="00960E73" w:rsidP="00AA1EB5">
      <w:pPr>
        <w:pStyle w:val="ListParagraph"/>
        <w:ind w:left="993" w:hanging="426"/>
        <w:rPr>
          <w:sz w:val="24"/>
          <w:szCs w:val="24"/>
          <w:lang w:val="en-US"/>
        </w:rPr>
      </w:pPr>
    </w:p>
    <w:p w14:paraId="440EB359" w14:textId="3A11591D" w:rsidR="00001501" w:rsidRDefault="008B16DE" w:rsidP="00AA1EB5">
      <w:pPr>
        <w:pStyle w:val="ListParagraph"/>
        <w:numPr>
          <w:ilvl w:val="0"/>
          <w:numId w:val="14"/>
        </w:numPr>
        <w:spacing w:after="0"/>
        <w:ind w:left="993" w:hanging="426"/>
        <w:rPr>
          <w:sz w:val="24"/>
          <w:szCs w:val="24"/>
          <w:lang w:val="en-US"/>
        </w:rPr>
      </w:pPr>
      <w:r>
        <w:rPr>
          <w:sz w:val="24"/>
          <w:szCs w:val="24"/>
          <w:lang w:val="en-US"/>
        </w:rPr>
        <w:t>The Iceni report is silent on whether there is any un-met need for other authorities, as set out in a Statement of common ground, that could be accommodated in Central Lancashire</w:t>
      </w:r>
      <w:r w:rsidR="006C1B13">
        <w:rPr>
          <w:sz w:val="24"/>
          <w:szCs w:val="24"/>
          <w:lang w:val="en-US"/>
        </w:rPr>
        <w:t xml:space="preserve"> (for example, from Wyre, or Lancaster)</w:t>
      </w:r>
      <w:r w:rsidR="00001501">
        <w:rPr>
          <w:sz w:val="24"/>
          <w:szCs w:val="24"/>
          <w:lang w:val="en-US"/>
        </w:rPr>
        <w:t>;</w:t>
      </w:r>
    </w:p>
    <w:p w14:paraId="4FC08E49" w14:textId="77777777" w:rsidR="00001501" w:rsidRDefault="00001501" w:rsidP="00AA1EB5">
      <w:pPr>
        <w:pStyle w:val="ListParagraph"/>
        <w:spacing w:after="0"/>
        <w:ind w:left="993" w:hanging="426"/>
        <w:rPr>
          <w:sz w:val="24"/>
          <w:szCs w:val="24"/>
          <w:lang w:val="en-US"/>
        </w:rPr>
      </w:pPr>
    </w:p>
    <w:p w14:paraId="434D113B" w14:textId="1A0972E7" w:rsidR="00001501" w:rsidRDefault="00001501" w:rsidP="00AA1EB5">
      <w:pPr>
        <w:pStyle w:val="ListParagraph"/>
        <w:numPr>
          <w:ilvl w:val="0"/>
          <w:numId w:val="14"/>
        </w:numPr>
        <w:spacing w:after="0"/>
        <w:ind w:left="993" w:hanging="426"/>
        <w:rPr>
          <w:sz w:val="24"/>
          <w:szCs w:val="24"/>
          <w:lang w:val="en-US"/>
        </w:rPr>
      </w:pPr>
      <w:r w:rsidRPr="00001501">
        <w:rPr>
          <w:sz w:val="24"/>
          <w:szCs w:val="24"/>
          <w:lang w:val="en-US"/>
        </w:rPr>
        <w:t>The distribution of the housing requirement will not deliver sufficient affordable housing to meet the population’s needs. It also fails to take account of and address relative affordability</w:t>
      </w:r>
      <w:r>
        <w:rPr>
          <w:sz w:val="24"/>
          <w:szCs w:val="24"/>
          <w:lang w:val="en-US"/>
        </w:rPr>
        <w:t>;</w:t>
      </w:r>
    </w:p>
    <w:p w14:paraId="7789D2EB" w14:textId="77777777" w:rsidR="00001501" w:rsidRDefault="00001501" w:rsidP="00AA1EB5">
      <w:pPr>
        <w:pStyle w:val="ListParagraph"/>
        <w:spacing w:after="0"/>
        <w:ind w:left="993" w:hanging="426"/>
        <w:rPr>
          <w:sz w:val="24"/>
          <w:szCs w:val="24"/>
          <w:lang w:val="en-US"/>
        </w:rPr>
      </w:pPr>
    </w:p>
    <w:p w14:paraId="2DC2C8BE" w14:textId="666AE92E" w:rsidR="00001501" w:rsidRDefault="00001501" w:rsidP="00AA1EB5">
      <w:pPr>
        <w:pStyle w:val="ListParagraph"/>
        <w:numPr>
          <w:ilvl w:val="0"/>
          <w:numId w:val="14"/>
        </w:numPr>
        <w:spacing w:after="0"/>
        <w:ind w:left="993" w:hanging="426"/>
        <w:rPr>
          <w:sz w:val="24"/>
          <w:szCs w:val="24"/>
          <w:lang w:val="en-US"/>
        </w:rPr>
      </w:pPr>
      <w:r w:rsidRPr="00001501">
        <w:rPr>
          <w:sz w:val="24"/>
          <w:szCs w:val="24"/>
          <w:lang w:val="en-US"/>
        </w:rPr>
        <w:t xml:space="preserve">The methodology in the Report fails to award substantial weight to the importance of </w:t>
      </w:r>
      <w:r w:rsidR="00457580">
        <w:rPr>
          <w:sz w:val="24"/>
          <w:szCs w:val="24"/>
          <w:lang w:val="en-US"/>
        </w:rPr>
        <w:t xml:space="preserve">historic </w:t>
      </w:r>
      <w:r w:rsidRPr="00001501">
        <w:rPr>
          <w:sz w:val="24"/>
          <w:szCs w:val="24"/>
          <w:lang w:val="en-US"/>
        </w:rPr>
        <w:t>housing completions</w:t>
      </w:r>
      <w:r w:rsidR="006C1B13">
        <w:rPr>
          <w:sz w:val="24"/>
          <w:szCs w:val="24"/>
          <w:lang w:val="en-US"/>
        </w:rPr>
        <w:t xml:space="preserve"> / delivery</w:t>
      </w:r>
      <w:r>
        <w:rPr>
          <w:sz w:val="24"/>
          <w:szCs w:val="24"/>
          <w:lang w:val="en-US"/>
        </w:rPr>
        <w:t>;</w:t>
      </w:r>
    </w:p>
    <w:p w14:paraId="50CB80BE" w14:textId="77777777" w:rsidR="00D90107" w:rsidRDefault="00D90107" w:rsidP="00AA1EB5">
      <w:pPr>
        <w:pStyle w:val="ListParagraph"/>
        <w:spacing w:after="0"/>
        <w:ind w:left="993" w:hanging="426"/>
        <w:rPr>
          <w:sz w:val="24"/>
          <w:szCs w:val="24"/>
          <w:lang w:val="en-US"/>
        </w:rPr>
      </w:pPr>
    </w:p>
    <w:p w14:paraId="48922B72" w14:textId="3EC8A2DC" w:rsidR="00D90107" w:rsidRDefault="00A60587" w:rsidP="00AA1EB5">
      <w:pPr>
        <w:pStyle w:val="ListParagraph"/>
        <w:numPr>
          <w:ilvl w:val="0"/>
          <w:numId w:val="14"/>
        </w:numPr>
        <w:spacing w:after="0"/>
        <w:ind w:left="993" w:hanging="426"/>
        <w:rPr>
          <w:sz w:val="24"/>
          <w:szCs w:val="24"/>
          <w:lang w:val="en-US"/>
        </w:rPr>
      </w:pPr>
      <w:r>
        <w:rPr>
          <w:sz w:val="24"/>
          <w:szCs w:val="24"/>
          <w:lang w:val="en-US"/>
        </w:rPr>
        <w:lastRenderedPageBreak/>
        <w:t>I</w:t>
      </w:r>
      <w:r w:rsidR="00D90107" w:rsidRPr="00D90107">
        <w:rPr>
          <w:sz w:val="24"/>
          <w:szCs w:val="24"/>
          <w:lang w:val="en-US"/>
        </w:rPr>
        <w:t xml:space="preserve">t is not appropriate for the urban capacity to be calculated without considering significant constraints such as Flood Zone 3. </w:t>
      </w:r>
      <w:r w:rsidR="00D90107">
        <w:rPr>
          <w:sz w:val="24"/>
          <w:szCs w:val="24"/>
          <w:lang w:val="en-US"/>
        </w:rPr>
        <w:t>T</w:t>
      </w:r>
      <w:r w:rsidR="00D90107" w:rsidRPr="00D90107">
        <w:rPr>
          <w:sz w:val="24"/>
          <w:szCs w:val="24"/>
          <w:lang w:val="en-US"/>
        </w:rPr>
        <w:t>he Report produce</w:t>
      </w:r>
      <w:r w:rsidR="00D90107">
        <w:rPr>
          <w:sz w:val="24"/>
          <w:szCs w:val="24"/>
          <w:lang w:val="en-US"/>
        </w:rPr>
        <w:t>s</w:t>
      </w:r>
      <w:r w:rsidR="00D90107" w:rsidRPr="00D90107">
        <w:rPr>
          <w:sz w:val="24"/>
          <w:szCs w:val="24"/>
          <w:lang w:val="en-US"/>
        </w:rPr>
        <w:t xml:space="preserve"> an inaccurate picture of the deliverable urban capacity</w:t>
      </w:r>
      <w:r w:rsidR="00D90107">
        <w:rPr>
          <w:sz w:val="24"/>
          <w:szCs w:val="24"/>
          <w:lang w:val="en-US"/>
        </w:rPr>
        <w:t xml:space="preserve">, which </w:t>
      </w:r>
      <w:r w:rsidR="00D90107" w:rsidRPr="00D90107">
        <w:rPr>
          <w:sz w:val="24"/>
          <w:szCs w:val="24"/>
          <w:lang w:val="en-US"/>
        </w:rPr>
        <w:t>therefore cannot be relied upon as a basis for the distribution of the housing requirement.</w:t>
      </w:r>
      <w:r w:rsidR="00DE2186" w:rsidRPr="00DE2186">
        <w:t xml:space="preserve"> </w:t>
      </w:r>
      <w:r w:rsidR="00DE2186">
        <w:t xml:space="preserve">Further, </w:t>
      </w:r>
      <w:r w:rsidR="00DE2186" w:rsidRPr="00DE2186">
        <w:rPr>
          <w:sz w:val="24"/>
          <w:szCs w:val="24"/>
          <w:lang w:val="en-US"/>
        </w:rPr>
        <w:t>other sources of supply, such as greenfield and Green Belt sites</w:t>
      </w:r>
      <w:r w:rsidR="00DE2186">
        <w:rPr>
          <w:sz w:val="24"/>
          <w:szCs w:val="24"/>
          <w:lang w:val="en-US"/>
        </w:rPr>
        <w:t xml:space="preserve"> have not been considered.</w:t>
      </w:r>
      <w:r w:rsidRPr="00A60587">
        <w:t xml:space="preserve"> </w:t>
      </w:r>
      <w:r>
        <w:t xml:space="preserve">It </w:t>
      </w:r>
      <w:r w:rsidRPr="00A60587">
        <w:rPr>
          <w:sz w:val="24"/>
          <w:szCs w:val="24"/>
          <w:lang w:val="en-US"/>
        </w:rPr>
        <w:t>is unrealistic to assume that all sites located on previously developed land will come forward for development</w:t>
      </w:r>
      <w:r>
        <w:rPr>
          <w:sz w:val="24"/>
          <w:szCs w:val="24"/>
          <w:lang w:val="en-US"/>
        </w:rPr>
        <w:t>;</w:t>
      </w:r>
    </w:p>
    <w:p w14:paraId="321CB7C0" w14:textId="77777777" w:rsidR="007E12AC" w:rsidRDefault="007E12AC" w:rsidP="00AA1EB5">
      <w:pPr>
        <w:pStyle w:val="ListParagraph"/>
        <w:spacing w:after="0"/>
        <w:ind w:left="993" w:hanging="426"/>
        <w:rPr>
          <w:sz w:val="24"/>
          <w:szCs w:val="24"/>
          <w:lang w:val="en-US"/>
        </w:rPr>
      </w:pPr>
    </w:p>
    <w:p w14:paraId="29563722" w14:textId="43DDEEFD" w:rsidR="007E12AC" w:rsidRPr="007E12AC" w:rsidRDefault="007E12AC" w:rsidP="00AA1EB5">
      <w:pPr>
        <w:pStyle w:val="ListParagraph"/>
        <w:numPr>
          <w:ilvl w:val="0"/>
          <w:numId w:val="14"/>
        </w:numPr>
        <w:spacing w:after="0"/>
        <w:ind w:left="993" w:hanging="426"/>
        <w:rPr>
          <w:sz w:val="24"/>
          <w:szCs w:val="24"/>
          <w:lang w:val="en-US"/>
        </w:rPr>
      </w:pPr>
      <w:r w:rsidRPr="007E12AC">
        <w:rPr>
          <w:sz w:val="24"/>
          <w:szCs w:val="24"/>
          <w:lang w:val="en-US"/>
        </w:rPr>
        <w:t>It is only once the full local housing need has been established that policy constraints such as Green Belt should be applied to assess the capacity of each of the three boroughs</w:t>
      </w:r>
      <w:r w:rsidR="003D517D">
        <w:rPr>
          <w:sz w:val="24"/>
          <w:szCs w:val="24"/>
          <w:lang w:val="en-US"/>
        </w:rPr>
        <w:t>;</w:t>
      </w:r>
    </w:p>
    <w:p w14:paraId="73EC769A" w14:textId="111F098D" w:rsidR="008B16DE" w:rsidRDefault="008B16DE" w:rsidP="00AA1EB5">
      <w:pPr>
        <w:pStyle w:val="ListParagraph"/>
        <w:spacing w:after="0"/>
        <w:ind w:left="993" w:hanging="426"/>
        <w:rPr>
          <w:sz w:val="24"/>
          <w:szCs w:val="24"/>
          <w:lang w:val="en-US"/>
        </w:rPr>
      </w:pPr>
      <w:r>
        <w:rPr>
          <w:sz w:val="24"/>
          <w:szCs w:val="24"/>
          <w:lang w:val="en-US"/>
        </w:rPr>
        <w:t xml:space="preserve"> </w:t>
      </w:r>
    </w:p>
    <w:p w14:paraId="5298E382" w14:textId="2CFDCBB1" w:rsidR="006D5B22" w:rsidRPr="00001501" w:rsidRDefault="00001501" w:rsidP="00AA1EB5">
      <w:pPr>
        <w:pStyle w:val="ListParagraph"/>
        <w:numPr>
          <w:ilvl w:val="0"/>
          <w:numId w:val="14"/>
        </w:numPr>
        <w:spacing w:after="0"/>
        <w:ind w:left="993" w:hanging="426"/>
        <w:rPr>
          <w:sz w:val="24"/>
          <w:szCs w:val="24"/>
          <w:lang w:val="en-US"/>
        </w:rPr>
      </w:pPr>
      <w:r w:rsidRPr="00001501">
        <w:rPr>
          <w:sz w:val="24"/>
          <w:szCs w:val="24"/>
          <w:lang w:val="en-US"/>
        </w:rPr>
        <w:t>The soundness of the new Local Plan will be brought into question</w:t>
      </w:r>
      <w:r w:rsidR="006C1B13">
        <w:rPr>
          <w:sz w:val="24"/>
          <w:szCs w:val="24"/>
          <w:lang w:val="en-US"/>
        </w:rPr>
        <w:t>. T</w:t>
      </w:r>
      <w:r w:rsidR="006D5B22" w:rsidRPr="00001501">
        <w:rPr>
          <w:sz w:val="24"/>
          <w:szCs w:val="24"/>
          <w:lang w:val="en-US"/>
        </w:rPr>
        <w:t xml:space="preserve">he MOU is trying to introduce policy by the back door – housing need </w:t>
      </w:r>
      <w:r w:rsidR="0080371B" w:rsidRPr="00001501">
        <w:rPr>
          <w:sz w:val="24"/>
          <w:szCs w:val="24"/>
          <w:lang w:val="en-US"/>
        </w:rPr>
        <w:t>and</w:t>
      </w:r>
      <w:r w:rsidR="006D5B22" w:rsidRPr="00001501">
        <w:rPr>
          <w:sz w:val="24"/>
          <w:szCs w:val="24"/>
          <w:lang w:val="en-US"/>
        </w:rPr>
        <w:t xml:space="preserve"> distribution should be </w:t>
      </w:r>
      <w:r w:rsidR="00AC2A04" w:rsidRPr="00001501">
        <w:rPr>
          <w:sz w:val="24"/>
          <w:szCs w:val="24"/>
          <w:lang w:val="en-US"/>
        </w:rPr>
        <w:t xml:space="preserve">established through the plan-making process and </w:t>
      </w:r>
      <w:r w:rsidR="006D5B22" w:rsidRPr="00001501">
        <w:rPr>
          <w:sz w:val="24"/>
          <w:szCs w:val="24"/>
          <w:lang w:val="en-US"/>
        </w:rPr>
        <w:t>set out in development plan policies, not in an MOU</w:t>
      </w:r>
      <w:r w:rsidR="00A319F6">
        <w:rPr>
          <w:sz w:val="24"/>
          <w:szCs w:val="24"/>
          <w:lang w:val="en-US"/>
        </w:rPr>
        <w:t xml:space="preserve">. Further, </w:t>
      </w:r>
      <w:r w:rsidR="006C1B13">
        <w:rPr>
          <w:sz w:val="24"/>
          <w:szCs w:val="24"/>
          <w:lang w:val="en-US"/>
        </w:rPr>
        <w:t xml:space="preserve">this should </w:t>
      </w:r>
      <w:r w:rsidR="00A319F6">
        <w:rPr>
          <w:sz w:val="24"/>
          <w:szCs w:val="24"/>
          <w:lang w:val="en-US"/>
        </w:rPr>
        <w:t xml:space="preserve">be tested through examination, and </w:t>
      </w:r>
      <w:r w:rsidR="006C1B13">
        <w:rPr>
          <w:sz w:val="24"/>
          <w:szCs w:val="24"/>
          <w:lang w:val="en-US"/>
        </w:rPr>
        <w:t xml:space="preserve">be </w:t>
      </w:r>
      <w:r w:rsidR="00A319F6">
        <w:rPr>
          <w:sz w:val="24"/>
          <w:szCs w:val="24"/>
          <w:lang w:val="en-US"/>
        </w:rPr>
        <w:t>subject to sustainability appraisal</w:t>
      </w:r>
      <w:r w:rsidRPr="00001501">
        <w:rPr>
          <w:sz w:val="24"/>
          <w:szCs w:val="24"/>
          <w:lang w:val="en-US"/>
        </w:rPr>
        <w:t>;</w:t>
      </w:r>
    </w:p>
    <w:p w14:paraId="664AA968" w14:textId="77777777" w:rsidR="00001501" w:rsidRDefault="00001501" w:rsidP="00AA1EB5">
      <w:pPr>
        <w:pStyle w:val="ListParagraph"/>
        <w:spacing w:after="0"/>
        <w:ind w:left="993" w:hanging="426"/>
        <w:rPr>
          <w:sz w:val="24"/>
          <w:szCs w:val="24"/>
          <w:lang w:val="en-US"/>
        </w:rPr>
      </w:pPr>
    </w:p>
    <w:p w14:paraId="78C2F17B" w14:textId="02B51301" w:rsidR="00001501" w:rsidRPr="00001501" w:rsidRDefault="00001501" w:rsidP="00AA1EB5">
      <w:pPr>
        <w:pStyle w:val="ListParagraph"/>
        <w:numPr>
          <w:ilvl w:val="0"/>
          <w:numId w:val="14"/>
        </w:numPr>
        <w:ind w:left="993" w:hanging="426"/>
        <w:rPr>
          <w:sz w:val="24"/>
          <w:szCs w:val="24"/>
          <w:lang w:val="en-US"/>
        </w:rPr>
      </w:pPr>
      <w:r w:rsidRPr="00001501">
        <w:rPr>
          <w:sz w:val="24"/>
          <w:szCs w:val="24"/>
          <w:lang w:val="en-US"/>
        </w:rPr>
        <w:t>MoU is an approach no longer favoured in national guidance in NPPG. Rather a Statement of Common Ground containing substantive elements is advised</w:t>
      </w:r>
      <w:r>
        <w:rPr>
          <w:sz w:val="24"/>
          <w:szCs w:val="24"/>
          <w:lang w:val="en-US"/>
        </w:rPr>
        <w:t>.</w:t>
      </w:r>
    </w:p>
    <w:p w14:paraId="2B621040" w14:textId="77777777" w:rsidR="008B16DE" w:rsidRPr="00001501" w:rsidRDefault="008B16DE" w:rsidP="00001501">
      <w:pPr>
        <w:pStyle w:val="ListParagraph"/>
        <w:spacing w:after="0"/>
        <w:rPr>
          <w:sz w:val="24"/>
          <w:szCs w:val="24"/>
          <w:lang w:val="en-US"/>
        </w:rPr>
      </w:pPr>
    </w:p>
    <w:sectPr w:rsidR="008B16DE" w:rsidRPr="000015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3EF25" w14:textId="77777777" w:rsidR="00FF78D6" w:rsidRDefault="00FF78D6" w:rsidP="00E441DD">
      <w:pPr>
        <w:spacing w:after="0" w:line="240" w:lineRule="auto"/>
      </w:pPr>
      <w:r>
        <w:separator/>
      </w:r>
    </w:p>
  </w:endnote>
  <w:endnote w:type="continuationSeparator" w:id="0">
    <w:p w14:paraId="4E47D354" w14:textId="77777777" w:rsidR="00FF78D6" w:rsidRDefault="00FF78D6" w:rsidP="00E4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531853"/>
      <w:docPartObj>
        <w:docPartGallery w:val="Page Numbers (Bottom of Page)"/>
        <w:docPartUnique/>
      </w:docPartObj>
    </w:sdtPr>
    <w:sdtEndPr>
      <w:rPr>
        <w:noProof/>
      </w:rPr>
    </w:sdtEndPr>
    <w:sdtContent>
      <w:p w14:paraId="2128D4E9" w14:textId="662DB364" w:rsidR="00FF78D6" w:rsidRDefault="00FF78D6">
        <w:pPr>
          <w:pStyle w:val="Footer"/>
          <w:jc w:val="right"/>
        </w:pPr>
        <w:r>
          <w:fldChar w:fldCharType="begin"/>
        </w:r>
        <w:r>
          <w:instrText xml:space="preserve"> PAGE   \* MERGEFORMAT </w:instrText>
        </w:r>
        <w:r>
          <w:fldChar w:fldCharType="separate"/>
        </w:r>
        <w:r w:rsidR="00D778E7">
          <w:rPr>
            <w:noProof/>
          </w:rPr>
          <w:t>1</w:t>
        </w:r>
        <w:r>
          <w:rPr>
            <w:noProof/>
          </w:rPr>
          <w:fldChar w:fldCharType="end"/>
        </w:r>
      </w:p>
    </w:sdtContent>
  </w:sdt>
  <w:p w14:paraId="34FA86F1" w14:textId="77777777" w:rsidR="00FF78D6" w:rsidRDefault="00FF7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986A6" w14:textId="77777777" w:rsidR="00FF78D6" w:rsidRDefault="00FF78D6" w:rsidP="00E441DD">
      <w:pPr>
        <w:spacing w:after="0" w:line="240" w:lineRule="auto"/>
      </w:pPr>
      <w:r>
        <w:separator/>
      </w:r>
    </w:p>
  </w:footnote>
  <w:footnote w:type="continuationSeparator" w:id="0">
    <w:p w14:paraId="1889644F" w14:textId="77777777" w:rsidR="00FF78D6" w:rsidRDefault="00FF78D6" w:rsidP="00E441DD">
      <w:pPr>
        <w:spacing w:after="0" w:line="240" w:lineRule="auto"/>
      </w:pPr>
      <w:r>
        <w:continuationSeparator/>
      </w:r>
    </w:p>
  </w:footnote>
  <w:footnote w:id="1">
    <w:p w14:paraId="69A43BA7" w14:textId="7FD8EBF7" w:rsidR="00FF78D6" w:rsidRPr="00080611" w:rsidRDefault="00FF78D6">
      <w:pPr>
        <w:pStyle w:val="FootnoteText"/>
        <w:rPr>
          <w:lang w:val="en-US"/>
        </w:rPr>
      </w:pPr>
      <w:r>
        <w:rPr>
          <w:rStyle w:val="FootnoteReference"/>
        </w:rPr>
        <w:footnoteRef/>
      </w:r>
      <w:r>
        <w:t xml:space="preserve"> </w:t>
      </w:r>
      <w:r>
        <w:rPr>
          <w:lang w:val="en-US"/>
        </w:rPr>
        <w:t>Refer to Appendix 1 for a full list of all organisations consulted.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B5656"/>
    <w:multiLevelType w:val="multilevel"/>
    <w:tmpl w:val="ACEA21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C57642"/>
    <w:multiLevelType w:val="multilevel"/>
    <w:tmpl w:val="A524C8C2"/>
    <w:lvl w:ilvl="0">
      <w:start w:val="1"/>
      <w:numFmt w:val="decimal"/>
      <w:lvlText w:val="%1"/>
      <w:lvlJc w:val="left"/>
      <w:pPr>
        <w:ind w:left="360" w:hanging="360"/>
      </w:pPr>
      <w:rPr>
        <w:rFonts w:cstheme="minorHAnsi" w:hint="default"/>
        <w:color w:val="000000"/>
        <w:sz w:val="24"/>
      </w:rPr>
    </w:lvl>
    <w:lvl w:ilvl="1">
      <w:start w:val="1"/>
      <w:numFmt w:val="decimal"/>
      <w:lvlText w:val="%1.%2"/>
      <w:lvlJc w:val="left"/>
      <w:pPr>
        <w:ind w:left="360" w:hanging="360"/>
      </w:pPr>
      <w:rPr>
        <w:rFonts w:cstheme="minorHAnsi" w:hint="default"/>
        <w:color w:val="000000"/>
        <w:sz w:val="24"/>
      </w:rPr>
    </w:lvl>
    <w:lvl w:ilvl="2">
      <w:start w:val="1"/>
      <w:numFmt w:val="decimal"/>
      <w:lvlText w:val="%1.%2.%3"/>
      <w:lvlJc w:val="left"/>
      <w:pPr>
        <w:ind w:left="720" w:hanging="720"/>
      </w:pPr>
      <w:rPr>
        <w:rFonts w:cstheme="minorHAnsi" w:hint="default"/>
        <w:color w:val="000000"/>
        <w:sz w:val="24"/>
      </w:rPr>
    </w:lvl>
    <w:lvl w:ilvl="3">
      <w:start w:val="1"/>
      <w:numFmt w:val="decimal"/>
      <w:lvlText w:val="%1.%2.%3.%4"/>
      <w:lvlJc w:val="left"/>
      <w:pPr>
        <w:ind w:left="1080" w:hanging="1080"/>
      </w:pPr>
      <w:rPr>
        <w:rFonts w:cstheme="minorHAnsi" w:hint="default"/>
        <w:color w:val="000000"/>
        <w:sz w:val="24"/>
      </w:rPr>
    </w:lvl>
    <w:lvl w:ilvl="4">
      <w:start w:val="1"/>
      <w:numFmt w:val="decimal"/>
      <w:lvlText w:val="%1.%2.%3.%4.%5"/>
      <w:lvlJc w:val="left"/>
      <w:pPr>
        <w:ind w:left="1080" w:hanging="1080"/>
      </w:pPr>
      <w:rPr>
        <w:rFonts w:cstheme="minorHAnsi" w:hint="default"/>
        <w:color w:val="000000"/>
        <w:sz w:val="24"/>
      </w:rPr>
    </w:lvl>
    <w:lvl w:ilvl="5">
      <w:start w:val="1"/>
      <w:numFmt w:val="decimal"/>
      <w:lvlText w:val="%1.%2.%3.%4.%5.%6"/>
      <w:lvlJc w:val="left"/>
      <w:pPr>
        <w:ind w:left="1440" w:hanging="1440"/>
      </w:pPr>
      <w:rPr>
        <w:rFonts w:cstheme="minorHAnsi" w:hint="default"/>
        <w:color w:val="000000"/>
        <w:sz w:val="24"/>
      </w:rPr>
    </w:lvl>
    <w:lvl w:ilvl="6">
      <w:start w:val="1"/>
      <w:numFmt w:val="decimal"/>
      <w:lvlText w:val="%1.%2.%3.%4.%5.%6.%7"/>
      <w:lvlJc w:val="left"/>
      <w:pPr>
        <w:ind w:left="1440" w:hanging="1440"/>
      </w:pPr>
      <w:rPr>
        <w:rFonts w:cstheme="minorHAnsi" w:hint="default"/>
        <w:color w:val="000000"/>
        <w:sz w:val="24"/>
      </w:rPr>
    </w:lvl>
    <w:lvl w:ilvl="7">
      <w:start w:val="1"/>
      <w:numFmt w:val="decimal"/>
      <w:lvlText w:val="%1.%2.%3.%4.%5.%6.%7.%8"/>
      <w:lvlJc w:val="left"/>
      <w:pPr>
        <w:ind w:left="1800" w:hanging="1800"/>
      </w:pPr>
      <w:rPr>
        <w:rFonts w:cstheme="minorHAnsi" w:hint="default"/>
        <w:color w:val="000000"/>
        <w:sz w:val="24"/>
      </w:rPr>
    </w:lvl>
    <w:lvl w:ilvl="8">
      <w:start w:val="1"/>
      <w:numFmt w:val="decimal"/>
      <w:lvlText w:val="%1.%2.%3.%4.%5.%6.%7.%8.%9"/>
      <w:lvlJc w:val="left"/>
      <w:pPr>
        <w:ind w:left="2160" w:hanging="2160"/>
      </w:pPr>
      <w:rPr>
        <w:rFonts w:cstheme="minorHAnsi" w:hint="default"/>
        <w:color w:val="000000"/>
        <w:sz w:val="24"/>
      </w:rPr>
    </w:lvl>
  </w:abstractNum>
  <w:abstractNum w:abstractNumId="2" w15:restartNumberingAfterBreak="0">
    <w:nsid w:val="1A862F26"/>
    <w:multiLevelType w:val="hybridMultilevel"/>
    <w:tmpl w:val="DDFC99F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1DF50851"/>
    <w:multiLevelType w:val="hybridMultilevel"/>
    <w:tmpl w:val="97D4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246"/>
    <w:multiLevelType w:val="multilevel"/>
    <w:tmpl w:val="A524C8C2"/>
    <w:lvl w:ilvl="0">
      <w:start w:val="1"/>
      <w:numFmt w:val="decimal"/>
      <w:lvlText w:val="%1"/>
      <w:lvlJc w:val="left"/>
      <w:pPr>
        <w:ind w:left="360" w:hanging="360"/>
      </w:pPr>
      <w:rPr>
        <w:rFonts w:cstheme="minorHAnsi" w:hint="default"/>
        <w:color w:val="000000"/>
        <w:sz w:val="24"/>
      </w:rPr>
    </w:lvl>
    <w:lvl w:ilvl="1">
      <w:start w:val="1"/>
      <w:numFmt w:val="decimal"/>
      <w:lvlText w:val="%1.%2"/>
      <w:lvlJc w:val="left"/>
      <w:pPr>
        <w:ind w:left="360" w:hanging="360"/>
      </w:pPr>
      <w:rPr>
        <w:rFonts w:cstheme="minorHAnsi" w:hint="default"/>
        <w:color w:val="000000"/>
        <w:sz w:val="24"/>
      </w:rPr>
    </w:lvl>
    <w:lvl w:ilvl="2">
      <w:start w:val="1"/>
      <w:numFmt w:val="decimal"/>
      <w:lvlText w:val="%1.%2.%3"/>
      <w:lvlJc w:val="left"/>
      <w:pPr>
        <w:ind w:left="720" w:hanging="720"/>
      </w:pPr>
      <w:rPr>
        <w:rFonts w:cstheme="minorHAnsi" w:hint="default"/>
        <w:color w:val="000000"/>
        <w:sz w:val="24"/>
      </w:rPr>
    </w:lvl>
    <w:lvl w:ilvl="3">
      <w:start w:val="1"/>
      <w:numFmt w:val="decimal"/>
      <w:lvlText w:val="%1.%2.%3.%4"/>
      <w:lvlJc w:val="left"/>
      <w:pPr>
        <w:ind w:left="1080" w:hanging="1080"/>
      </w:pPr>
      <w:rPr>
        <w:rFonts w:cstheme="minorHAnsi" w:hint="default"/>
        <w:color w:val="000000"/>
        <w:sz w:val="24"/>
      </w:rPr>
    </w:lvl>
    <w:lvl w:ilvl="4">
      <w:start w:val="1"/>
      <w:numFmt w:val="decimal"/>
      <w:lvlText w:val="%1.%2.%3.%4.%5"/>
      <w:lvlJc w:val="left"/>
      <w:pPr>
        <w:ind w:left="1080" w:hanging="1080"/>
      </w:pPr>
      <w:rPr>
        <w:rFonts w:cstheme="minorHAnsi" w:hint="default"/>
        <w:color w:val="000000"/>
        <w:sz w:val="24"/>
      </w:rPr>
    </w:lvl>
    <w:lvl w:ilvl="5">
      <w:start w:val="1"/>
      <w:numFmt w:val="decimal"/>
      <w:lvlText w:val="%1.%2.%3.%4.%5.%6"/>
      <w:lvlJc w:val="left"/>
      <w:pPr>
        <w:ind w:left="1440" w:hanging="1440"/>
      </w:pPr>
      <w:rPr>
        <w:rFonts w:cstheme="minorHAnsi" w:hint="default"/>
        <w:color w:val="000000"/>
        <w:sz w:val="24"/>
      </w:rPr>
    </w:lvl>
    <w:lvl w:ilvl="6">
      <w:start w:val="1"/>
      <w:numFmt w:val="decimal"/>
      <w:lvlText w:val="%1.%2.%3.%4.%5.%6.%7"/>
      <w:lvlJc w:val="left"/>
      <w:pPr>
        <w:ind w:left="1440" w:hanging="1440"/>
      </w:pPr>
      <w:rPr>
        <w:rFonts w:cstheme="minorHAnsi" w:hint="default"/>
        <w:color w:val="000000"/>
        <w:sz w:val="24"/>
      </w:rPr>
    </w:lvl>
    <w:lvl w:ilvl="7">
      <w:start w:val="1"/>
      <w:numFmt w:val="decimal"/>
      <w:lvlText w:val="%1.%2.%3.%4.%5.%6.%7.%8"/>
      <w:lvlJc w:val="left"/>
      <w:pPr>
        <w:ind w:left="1800" w:hanging="1800"/>
      </w:pPr>
      <w:rPr>
        <w:rFonts w:cstheme="minorHAnsi" w:hint="default"/>
        <w:color w:val="000000"/>
        <w:sz w:val="24"/>
      </w:rPr>
    </w:lvl>
    <w:lvl w:ilvl="8">
      <w:start w:val="1"/>
      <w:numFmt w:val="decimal"/>
      <w:lvlText w:val="%1.%2.%3.%4.%5.%6.%7.%8.%9"/>
      <w:lvlJc w:val="left"/>
      <w:pPr>
        <w:ind w:left="2160" w:hanging="2160"/>
      </w:pPr>
      <w:rPr>
        <w:rFonts w:cstheme="minorHAnsi" w:hint="default"/>
        <w:color w:val="000000"/>
        <w:sz w:val="24"/>
      </w:rPr>
    </w:lvl>
  </w:abstractNum>
  <w:abstractNum w:abstractNumId="5" w15:restartNumberingAfterBreak="0">
    <w:nsid w:val="28674216"/>
    <w:multiLevelType w:val="hybridMultilevel"/>
    <w:tmpl w:val="3010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822A8"/>
    <w:multiLevelType w:val="multilevel"/>
    <w:tmpl w:val="A524C8C2"/>
    <w:lvl w:ilvl="0">
      <w:start w:val="1"/>
      <w:numFmt w:val="decimal"/>
      <w:lvlText w:val="%1"/>
      <w:lvlJc w:val="left"/>
      <w:pPr>
        <w:ind w:left="360" w:hanging="360"/>
      </w:pPr>
      <w:rPr>
        <w:rFonts w:cstheme="minorHAnsi" w:hint="default"/>
        <w:color w:val="000000"/>
        <w:sz w:val="24"/>
      </w:rPr>
    </w:lvl>
    <w:lvl w:ilvl="1">
      <w:start w:val="1"/>
      <w:numFmt w:val="decimal"/>
      <w:lvlText w:val="%1.%2"/>
      <w:lvlJc w:val="left"/>
      <w:pPr>
        <w:ind w:left="360" w:hanging="360"/>
      </w:pPr>
      <w:rPr>
        <w:rFonts w:cstheme="minorHAnsi" w:hint="default"/>
        <w:color w:val="000000"/>
        <w:sz w:val="24"/>
      </w:rPr>
    </w:lvl>
    <w:lvl w:ilvl="2">
      <w:start w:val="1"/>
      <w:numFmt w:val="decimal"/>
      <w:lvlText w:val="%1.%2.%3"/>
      <w:lvlJc w:val="left"/>
      <w:pPr>
        <w:ind w:left="720" w:hanging="720"/>
      </w:pPr>
      <w:rPr>
        <w:rFonts w:cstheme="minorHAnsi" w:hint="default"/>
        <w:color w:val="000000"/>
        <w:sz w:val="24"/>
      </w:rPr>
    </w:lvl>
    <w:lvl w:ilvl="3">
      <w:start w:val="1"/>
      <w:numFmt w:val="decimal"/>
      <w:lvlText w:val="%1.%2.%3.%4"/>
      <w:lvlJc w:val="left"/>
      <w:pPr>
        <w:ind w:left="1080" w:hanging="1080"/>
      </w:pPr>
      <w:rPr>
        <w:rFonts w:cstheme="minorHAnsi" w:hint="default"/>
        <w:color w:val="000000"/>
        <w:sz w:val="24"/>
      </w:rPr>
    </w:lvl>
    <w:lvl w:ilvl="4">
      <w:start w:val="1"/>
      <w:numFmt w:val="decimal"/>
      <w:lvlText w:val="%1.%2.%3.%4.%5"/>
      <w:lvlJc w:val="left"/>
      <w:pPr>
        <w:ind w:left="1080" w:hanging="1080"/>
      </w:pPr>
      <w:rPr>
        <w:rFonts w:cstheme="minorHAnsi" w:hint="default"/>
        <w:color w:val="000000"/>
        <w:sz w:val="24"/>
      </w:rPr>
    </w:lvl>
    <w:lvl w:ilvl="5">
      <w:start w:val="1"/>
      <w:numFmt w:val="decimal"/>
      <w:lvlText w:val="%1.%2.%3.%4.%5.%6"/>
      <w:lvlJc w:val="left"/>
      <w:pPr>
        <w:ind w:left="1440" w:hanging="1440"/>
      </w:pPr>
      <w:rPr>
        <w:rFonts w:cstheme="minorHAnsi" w:hint="default"/>
        <w:color w:val="000000"/>
        <w:sz w:val="24"/>
      </w:rPr>
    </w:lvl>
    <w:lvl w:ilvl="6">
      <w:start w:val="1"/>
      <w:numFmt w:val="decimal"/>
      <w:lvlText w:val="%1.%2.%3.%4.%5.%6.%7"/>
      <w:lvlJc w:val="left"/>
      <w:pPr>
        <w:ind w:left="1440" w:hanging="1440"/>
      </w:pPr>
      <w:rPr>
        <w:rFonts w:cstheme="minorHAnsi" w:hint="default"/>
        <w:color w:val="000000"/>
        <w:sz w:val="24"/>
      </w:rPr>
    </w:lvl>
    <w:lvl w:ilvl="7">
      <w:start w:val="1"/>
      <w:numFmt w:val="decimal"/>
      <w:lvlText w:val="%1.%2.%3.%4.%5.%6.%7.%8"/>
      <w:lvlJc w:val="left"/>
      <w:pPr>
        <w:ind w:left="1800" w:hanging="1800"/>
      </w:pPr>
      <w:rPr>
        <w:rFonts w:cstheme="minorHAnsi" w:hint="default"/>
        <w:color w:val="000000"/>
        <w:sz w:val="24"/>
      </w:rPr>
    </w:lvl>
    <w:lvl w:ilvl="8">
      <w:start w:val="1"/>
      <w:numFmt w:val="decimal"/>
      <w:lvlText w:val="%1.%2.%3.%4.%5.%6.%7.%8.%9"/>
      <w:lvlJc w:val="left"/>
      <w:pPr>
        <w:ind w:left="2160" w:hanging="2160"/>
      </w:pPr>
      <w:rPr>
        <w:rFonts w:cstheme="minorHAnsi" w:hint="default"/>
        <w:color w:val="000000"/>
        <w:sz w:val="24"/>
      </w:rPr>
    </w:lvl>
  </w:abstractNum>
  <w:abstractNum w:abstractNumId="7" w15:restartNumberingAfterBreak="0">
    <w:nsid w:val="3BEE6C01"/>
    <w:multiLevelType w:val="hybridMultilevel"/>
    <w:tmpl w:val="4260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D39A5"/>
    <w:multiLevelType w:val="hybridMultilevel"/>
    <w:tmpl w:val="48B4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026C4"/>
    <w:multiLevelType w:val="hybridMultilevel"/>
    <w:tmpl w:val="48AC69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F411C1"/>
    <w:multiLevelType w:val="hybridMultilevel"/>
    <w:tmpl w:val="992E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055E0A"/>
    <w:multiLevelType w:val="hybridMultilevel"/>
    <w:tmpl w:val="FC4A39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3F2DC4"/>
    <w:multiLevelType w:val="multilevel"/>
    <w:tmpl w:val="A524C8C2"/>
    <w:lvl w:ilvl="0">
      <w:start w:val="1"/>
      <w:numFmt w:val="decimal"/>
      <w:lvlText w:val="%1"/>
      <w:lvlJc w:val="left"/>
      <w:pPr>
        <w:ind w:left="360" w:hanging="360"/>
      </w:pPr>
      <w:rPr>
        <w:rFonts w:cstheme="minorHAnsi" w:hint="default"/>
        <w:color w:val="000000"/>
        <w:sz w:val="24"/>
      </w:rPr>
    </w:lvl>
    <w:lvl w:ilvl="1">
      <w:start w:val="1"/>
      <w:numFmt w:val="decimal"/>
      <w:lvlText w:val="%1.%2"/>
      <w:lvlJc w:val="left"/>
      <w:pPr>
        <w:ind w:left="360" w:hanging="360"/>
      </w:pPr>
      <w:rPr>
        <w:rFonts w:cstheme="minorHAnsi" w:hint="default"/>
        <w:color w:val="000000"/>
        <w:sz w:val="24"/>
      </w:rPr>
    </w:lvl>
    <w:lvl w:ilvl="2">
      <w:start w:val="1"/>
      <w:numFmt w:val="decimal"/>
      <w:lvlText w:val="%1.%2.%3"/>
      <w:lvlJc w:val="left"/>
      <w:pPr>
        <w:ind w:left="720" w:hanging="720"/>
      </w:pPr>
      <w:rPr>
        <w:rFonts w:cstheme="minorHAnsi" w:hint="default"/>
        <w:color w:val="000000"/>
        <w:sz w:val="24"/>
      </w:rPr>
    </w:lvl>
    <w:lvl w:ilvl="3">
      <w:start w:val="1"/>
      <w:numFmt w:val="decimal"/>
      <w:lvlText w:val="%1.%2.%3.%4"/>
      <w:lvlJc w:val="left"/>
      <w:pPr>
        <w:ind w:left="1080" w:hanging="1080"/>
      </w:pPr>
      <w:rPr>
        <w:rFonts w:cstheme="minorHAnsi" w:hint="default"/>
        <w:color w:val="000000"/>
        <w:sz w:val="24"/>
      </w:rPr>
    </w:lvl>
    <w:lvl w:ilvl="4">
      <w:start w:val="1"/>
      <w:numFmt w:val="decimal"/>
      <w:lvlText w:val="%1.%2.%3.%4.%5"/>
      <w:lvlJc w:val="left"/>
      <w:pPr>
        <w:ind w:left="1080" w:hanging="1080"/>
      </w:pPr>
      <w:rPr>
        <w:rFonts w:cstheme="minorHAnsi" w:hint="default"/>
        <w:color w:val="000000"/>
        <w:sz w:val="24"/>
      </w:rPr>
    </w:lvl>
    <w:lvl w:ilvl="5">
      <w:start w:val="1"/>
      <w:numFmt w:val="decimal"/>
      <w:lvlText w:val="%1.%2.%3.%4.%5.%6"/>
      <w:lvlJc w:val="left"/>
      <w:pPr>
        <w:ind w:left="1440" w:hanging="1440"/>
      </w:pPr>
      <w:rPr>
        <w:rFonts w:cstheme="minorHAnsi" w:hint="default"/>
        <w:color w:val="000000"/>
        <w:sz w:val="24"/>
      </w:rPr>
    </w:lvl>
    <w:lvl w:ilvl="6">
      <w:start w:val="1"/>
      <w:numFmt w:val="decimal"/>
      <w:lvlText w:val="%1.%2.%3.%4.%5.%6.%7"/>
      <w:lvlJc w:val="left"/>
      <w:pPr>
        <w:ind w:left="1440" w:hanging="1440"/>
      </w:pPr>
      <w:rPr>
        <w:rFonts w:cstheme="minorHAnsi" w:hint="default"/>
        <w:color w:val="000000"/>
        <w:sz w:val="24"/>
      </w:rPr>
    </w:lvl>
    <w:lvl w:ilvl="7">
      <w:start w:val="1"/>
      <w:numFmt w:val="decimal"/>
      <w:lvlText w:val="%1.%2.%3.%4.%5.%6.%7.%8"/>
      <w:lvlJc w:val="left"/>
      <w:pPr>
        <w:ind w:left="1800" w:hanging="1800"/>
      </w:pPr>
      <w:rPr>
        <w:rFonts w:cstheme="minorHAnsi" w:hint="default"/>
        <w:color w:val="000000"/>
        <w:sz w:val="24"/>
      </w:rPr>
    </w:lvl>
    <w:lvl w:ilvl="8">
      <w:start w:val="1"/>
      <w:numFmt w:val="decimal"/>
      <w:lvlText w:val="%1.%2.%3.%4.%5.%6.%7.%8.%9"/>
      <w:lvlJc w:val="left"/>
      <w:pPr>
        <w:ind w:left="2160" w:hanging="2160"/>
      </w:pPr>
      <w:rPr>
        <w:rFonts w:cstheme="minorHAnsi" w:hint="default"/>
        <w:color w:val="000000"/>
        <w:sz w:val="24"/>
      </w:rPr>
    </w:lvl>
  </w:abstractNum>
  <w:abstractNum w:abstractNumId="13" w15:restartNumberingAfterBreak="0">
    <w:nsid w:val="7EB77530"/>
    <w:multiLevelType w:val="multilevel"/>
    <w:tmpl w:val="133A0616"/>
    <w:lvl w:ilvl="0">
      <w:start w:val="1"/>
      <w:numFmt w:val="decimal"/>
      <w:lvlText w:val="%1"/>
      <w:lvlJc w:val="left"/>
      <w:pPr>
        <w:ind w:left="360" w:hanging="360"/>
      </w:pPr>
      <w:rPr>
        <w:rFonts w:cstheme="minorHAnsi" w:hint="default"/>
        <w:color w:val="000000"/>
        <w:sz w:val="24"/>
      </w:rPr>
    </w:lvl>
    <w:lvl w:ilvl="1">
      <w:start w:val="1"/>
      <w:numFmt w:val="bullet"/>
      <w:lvlText w:val=""/>
      <w:lvlJc w:val="left"/>
      <w:pPr>
        <w:ind w:left="360" w:hanging="360"/>
      </w:pPr>
      <w:rPr>
        <w:rFonts w:ascii="Symbol" w:hAnsi="Symbol" w:hint="default"/>
        <w:color w:val="000000"/>
        <w:sz w:val="24"/>
      </w:rPr>
    </w:lvl>
    <w:lvl w:ilvl="2">
      <w:start w:val="1"/>
      <w:numFmt w:val="decimal"/>
      <w:lvlText w:val="%1.%2.%3"/>
      <w:lvlJc w:val="left"/>
      <w:pPr>
        <w:ind w:left="720" w:hanging="720"/>
      </w:pPr>
      <w:rPr>
        <w:rFonts w:cstheme="minorHAnsi" w:hint="default"/>
        <w:color w:val="000000"/>
        <w:sz w:val="24"/>
      </w:rPr>
    </w:lvl>
    <w:lvl w:ilvl="3">
      <w:start w:val="1"/>
      <w:numFmt w:val="decimal"/>
      <w:lvlText w:val="%1.%2.%3.%4"/>
      <w:lvlJc w:val="left"/>
      <w:pPr>
        <w:ind w:left="1080" w:hanging="1080"/>
      </w:pPr>
      <w:rPr>
        <w:rFonts w:cstheme="minorHAnsi" w:hint="default"/>
        <w:color w:val="000000"/>
        <w:sz w:val="24"/>
      </w:rPr>
    </w:lvl>
    <w:lvl w:ilvl="4">
      <w:start w:val="1"/>
      <w:numFmt w:val="decimal"/>
      <w:lvlText w:val="%1.%2.%3.%4.%5"/>
      <w:lvlJc w:val="left"/>
      <w:pPr>
        <w:ind w:left="1080" w:hanging="1080"/>
      </w:pPr>
      <w:rPr>
        <w:rFonts w:cstheme="minorHAnsi" w:hint="default"/>
        <w:color w:val="000000"/>
        <w:sz w:val="24"/>
      </w:rPr>
    </w:lvl>
    <w:lvl w:ilvl="5">
      <w:start w:val="1"/>
      <w:numFmt w:val="decimal"/>
      <w:lvlText w:val="%1.%2.%3.%4.%5.%6"/>
      <w:lvlJc w:val="left"/>
      <w:pPr>
        <w:ind w:left="1440" w:hanging="1440"/>
      </w:pPr>
      <w:rPr>
        <w:rFonts w:cstheme="minorHAnsi" w:hint="default"/>
        <w:color w:val="000000"/>
        <w:sz w:val="24"/>
      </w:rPr>
    </w:lvl>
    <w:lvl w:ilvl="6">
      <w:start w:val="1"/>
      <w:numFmt w:val="decimal"/>
      <w:lvlText w:val="%1.%2.%3.%4.%5.%6.%7"/>
      <w:lvlJc w:val="left"/>
      <w:pPr>
        <w:ind w:left="1440" w:hanging="1440"/>
      </w:pPr>
      <w:rPr>
        <w:rFonts w:cstheme="minorHAnsi" w:hint="default"/>
        <w:color w:val="000000"/>
        <w:sz w:val="24"/>
      </w:rPr>
    </w:lvl>
    <w:lvl w:ilvl="7">
      <w:start w:val="1"/>
      <w:numFmt w:val="decimal"/>
      <w:lvlText w:val="%1.%2.%3.%4.%5.%6.%7.%8"/>
      <w:lvlJc w:val="left"/>
      <w:pPr>
        <w:ind w:left="1800" w:hanging="1800"/>
      </w:pPr>
      <w:rPr>
        <w:rFonts w:cstheme="minorHAnsi" w:hint="default"/>
        <w:color w:val="000000"/>
        <w:sz w:val="24"/>
      </w:rPr>
    </w:lvl>
    <w:lvl w:ilvl="8">
      <w:start w:val="1"/>
      <w:numFmt w:val="decimal"/>
      <w:lvlText w:val="%1.%2.%3.%4.%5.%6.%7.%8.%9"/>
      <w:lvlJc w:val="left"/>
      <w:pPr>
        <w:ind w:left="2160" w:hanging="2160"/>
      </w:pPr>
      <w:rPr>
        <w:rFonts w:cstheme="minorHAnsi" w:hint="default"/>
        <w:color w:val="000000"/>
        <w:sz w:val="24"/>
      </w:rPr>
    </w:lvl>
  </w:abstractNum>
  <w:num w:numId="1">
    <w:abstractNumId w:val="11"/>
  </w:num>
  <w:num w:numId="2">
    <w:abstractNumId w:val="0"/>
  </w:num>
  <w:num w:numId="3">
    <w:abstractNumId w:val="4"/>
  </w:num>
  <w:num w:numId="4">
    <w:abstractNumId w:val="13"/>
  </w:num>
  <w:num w:numId="5">
    <w:abstractNumId w:val="1"/>
  </w:num>
  <w:num w:numId="6">
    <w:abstractNumId w:val="6"/>
  </w:num>
  <w:num w:numId="7">
    <w:abstractNumId w:val="2"/>
  </w:num>
  <w:num w:numId="8">
    <w:abstractNumId w:val="7"/>
  </w:num>
  <w:num w:numId="9">
    <w:abstractNumId w:val="12"/>
  </w:num>
  <w:num w:numId="10">
    <w:abstractNumId w:val="5"/>
  </w:num>
  <w:num w:numId="11">
    <w:abstractNumId w:val="9"/>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36"/>
    <w:rsid w:val="00001501"/>
    <w:rsid w:val="00003CD9"/>
    <w:rsid w:val="0001599E"/>
    <w:rsid w:val="00026B54"/>
    <w:rsid w:val="00041294"/>
    <w:rsid w:val="0004709F"/>
    <w:rsid w:val="00051087"/>
    <w:rsid w:val="00080611"/>
    <w:rsid w:val="000828FF"/>
    <w:rsid w:val="00083B99"/>
    <w:rsid w:val="000E001C"/>
    <w:rsid w:val="000E3D9E"/>
    <w:rsid w:val="000F36EF"/>
    <w:rsid w:val="001072A1"/>
    <w:rsid w:val="0012514D"/>
    <w:rsid w:val="001526AE"/>
    <w:rsid w:val="00162B1D"/>
    <w:rsid w:val="001722DD"/>
    <w:rsid w:val="00185151"/>
    <w:rsid w:val="00185661"/>
    <w:rsid w:val="0019309D"/>
    <w:rsid w:val="001A0E46"/>
    <w:rsid w:val="001B0737"/>
    <w:rsid w:val="001C5999"/>
    <w:rsid w:val="001C5F9A"/>
    <w:rsid w:val="001D6AF9"/>
    <w:rsid w:val="001E3484"/>
    <w:rsid w:val="001E4FF4"/>
    <w:rsid w:val="00214E32"/>
    <w:rsid w:val="002209B3"/>
    <w:rsid w:val="002535BB"/>
    <w:rsid w:val="002603FA"/>
    <w:rsid w:val="002615E6"/>
    <w:rsid w:val="00277964"/>
    <w:rsid w:val="002A41CC"/>
    <w:rsid w:val="002F0FDC"/>
    <w:rsid w:val="002F50E8"/>
    <w:rsid w:val="00323CF3"/>
    <w:rsid w:val="003365B3"/>
    <w:rsid w:val="003633DC"/>
    <w:rsid w:val="003637F6"/>
    <w:rsid w:val="00364886"/>
    <w:rsid w:val="00376721"/>
    <w:rsid w:val="003A4FED"/>
    <w:rsid w:val="003B0433"/>
    <w:rsid w:val="003B6419"/>
    <w:rsid w:val="003D517D"/>
    <w:rsid w:val="003E0F5D"/>
    <w:rsid w:val="004073C5"/>
    <w:rsid w:val="004156E7"/>
    <w:rsid w:val="00425316"/>
    <w:rsid w:val="00425B17"/>
    <w:rsid w:val="00457580"/>
    <w:rsid w:val="00464005"/>
    <w:rsid w:val="00476513"/>
    <w:rsid w:val="004869C1"/>
    <w:rsid w:val="004904BA"/>
    <w:rsid w:val="004A10D6"/>
    <w:rsid w:val="004A7E8C"/>
    <w:rsid w:val="004B0488"/>
    <w:rsid w:val="004E2A2B"/>
    <w:rsid w:val="004E4086"/>
    <w:rsid w:val="004F73E8"/>
    <w:rsid w:val="00513E91"/>
    <w:rsid w:val="00525C12"/>
    <w:rsid w:val="00540065"/>
    <w:rsid w:val="00543776"/>
    <w:rsid w:val="00565FDB"/>
    <w:rsid w:val="00571522"/>
    <w:rsid w:val="00580B97"/>
    <w:rsid w:val="005A0BB8"/>
    <w:rsid w:val="005C2A29"/>
    <w:rsid w:val="005D407E"/>
    <w:rsid w:val="005F7A50"/>
    <w:rsid w:val="00602AAD"/>
    <w:rsid w:val="006468DB"/>
    <w:rsid w:val="00652AF6"/>
    <w:rsid w:val="006618A9"/>
    <w:rsid w:val="00666AF9"/>
    <w:rsid w:val="00672A63"/>
    <w:rsid w:val="00673BD6"/>
    <w:rsid w:val="00684DCE"/>
    <w:rsid w:val="00687A08"/>
    <w:rsid w:val="00691EF6"/>
    <w:rsid w:val="006C1B13"/>
    <w:rsid w:val="006C3A75"/>
    <w:rsid w:val="006D5B22"/>
    <w:rsid w:val="006D5CE5"/>
    <w:rsid w:val="006D5E16"/>
    <w:rsid w:val="006E4D06"/>
    <w:rsid w:val="00712504"/>
    <w:rsid w:val="00715656"/>
    <w:rsid w:val="007543D3"/>
    <w:rsid w:val="00782428"/>
    <w:rsid w:val="00786F7E"/>
    <w:rsid w:val="007A7F6C"/>
    <w:rsid w:val="007B6B40"/>
    <w:rsid w:val="007C31E5"/>
    <w:rsid w:val="007D08A7"/>
    <w:rsid w:val="007D22F3"/>
    <w:rsid w:val="007E12AC"/>
    <w:rsid w:val="007E59F0"/>
    <w:rsid w:val="007F2D59"/>
    <w:rsid w:val="007F32AD"/>
    <w:rsid w:val="007F7D34"/>
    <w:rsid w:val="0080371B"/>
    <w:rsid w:val="00822E25"/>
    <w:rsid w:val="00853AD9"/>
    <w:rsid w:val="0085568A"/>
    <w:rsid w:val="0085600C"/>
    <w:rsid w:val="00862F90"/>
    <w:rsid w:val="00865E83"/>
    <w:rsid w:val="00875886"/>
    <w:rsid w:val="00883F5A"/>
    <w:rsid w:val="008914DA"/>
    <w:rsid w:val="00893BC2"/>
    <w:rsid w:val="00895109"/>
    <w:rsid w:val="008A25EA"/>
    <w:rsid w:val="008B16DE"/>
    <w:rsid w:val="008C5806"/>
    <w:rsid w:val="008C7275"/>
    <w:rsid w:val="008D3A08"/>
    <w:rsid w:val="008D66FF"/>
    <w:rsid w:val="008E2F35"/>
    <w:rsid w:val="0091098C"/>
    <w:rsid w:val="00952D35"/>
    <w:rsid w:val="00960E73"/>
    <w:rsid w:val="009756AA"/>
    <w:rsid w:val="00991233"/>
    <w:rsid w:val="009E2B30"/>
    <w:rsid w:val="009E45AB"/>
    <w:rsid w:val="009E460A"/>
    <w:rsid w:val="009F1EB1"/>
    <w:rsid w:val="009F5503"/>
    <w:rsid w:val="009F6D54"/>
    <w:rsid w:val="00A107C0"/>
    <w:rsid w:val="00A319F6"/>
    <w:rsid w:val="00A36CE7"/>
    <w:rsid w:val="00A406BA"/>
    <w:rsid w:val="00A514CD"/>
    <w:rsid w:val="00A561E0"/>
    <w:rsid w:val="00A60587"/>
    <w:rsid w:val="00A64328"/>
    <w:rsid w:val="00A75365"/>
    <w:rsid w:val="00A76BB6"/>
    <w:rsid w:val="00AA1EB5"/>
    <w:rsid w:val="00AB6B36"/>
    <w:rsid w:val="00AC2A04"/>
    <w:rsid w:val="00AD0998"/>
    <w:rsid w:val="00AE05B4"/>
    <w:rsid w:val="00AF4E25"/>
    <w:rsid w:val="00B122F1"/>
    <w:rsid w:val="00B14202"/>
    <w:rsid w:val="00B14867"/>
    <w:rsid w:val="00B224BA"/>
    <w:rsid w:val="00B23C1E"/>
    <w:rsid w:val="00B415D2"/>
    <w:rsid w:val="00B4291C"/>
    <w:rsid w:val="00B64AB6"/>
    <w:rsid w:val="00B67424"/>
    <w:rsid w:val="00B75608"/>
    <w:rsid w:val="00B77E85"/>
    <w:rsid w:val="00B91C38"/>
    <w:rsid w:val="00BA41E5"/>
    <w:rsid w:val="00BC501A"/>
    <w:rsid w:val="00BE3879"/>
    <w:rsid w:val="00BE5A8D"/>
    <w:rsid w:val="00BE7FDD"/>
    <w:rsid w:val="00BF4F6C"/>
    <w:rsid w:val="00C035D2"/>
    <w:rsid w:val="00C11CB9"/>
    <w:rsid w:val="00C32131"/>
    <w:rsid w:val="00C52049"/>
    <w:rsid w:val="00C5471A"/>
    <w:rsid w:val="00C57A8B"/>
    <w:rsid w:val="00C66145"/>
    <w:rsid w:val="00C918BF"/>
    <w:rsid w:val="00C97095"/>
    <w:rsid w:val="00CB1ADB"/>
    <w:rsid w:val="00CC7154"/>
    <w:rsid w:val="00CD42B7"/>
    <w:rsid w:val="00CF3432"/>
    <w:rsid w:val="00CF417E"/>
    <w:rsid w:val="00CF7CC0"/>
    <w:rsid w:val="00D04D7A"/>
    <w:rsid w:val="00D21FC9"/>
    <w:rsid w:val="00D72E42"/>
    <w:rsid w:val="00D778E7"/>
    <w:rsid w:val="00D90107"/>
    <w:rsid w:val="00D94671"/>
    <w:rsid w:val="00D96FC7"/>
    <w:rsid w:val="00DA151E"/>
    <w:rsid w:val="00DC3228"/>
    <w:rsid w:val="00DE2186"/>
    <w:rsid w:val="00DE2A89"/>
    <w:rsid w:val="00DE7A12"/>
    <w:rsid w:val="00DF1C8D"/>
    <w:rsid w:val="00E114E9"/>
    <w:rsid w:val="00E241B0"/>
    <w:rsid w:val="00E2627B"/>
    <w:rsid w:val="00E305D4"/>
    <w:rsid w:val="00E37BE8"/>
    <w:rsid w:val="00E441DD"/>
    <w:rsid w:val="00E927C9"/>
    <w:rsid w:val="00EA4836"/>
    <w:rsid w:val="00EC2B9C"/>
    <w:rsid w:val="00ED19B9"/>
    <w:rsid w:val="00ED5EFC"/>
    <w:rsid w:val="00EF0C73"/>
    <w:rsid w:val="00F21BD1"/>
    <w:rsid w:val="00F27AD1"/>
    <w:rsid w:val="00F345E2"/>
    <w:rsid w:val="00F37D9A"/>
    <w:rsid w:val="00F4711B"/>
    <w:rsid w:val="00F57B18"/>
    <w:rsid w:val="00F62A1F"/>
    <w:rsid w:val="00F6405F"/>
    <w:rsid w:val="00F76C1C"/>
    <w:rsid w:val="00F83F70"/>
    <w:rsid w:val="00F9423B"/>
    <w:rsid w:val="00F94EC5"/>
    <w:rsid w:val="00FC7F85"/>
    <w:rsid w:val="00FF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D209"/>
  <w15:chartTrackingRefBased/>
  <w15:docId w15:val="{D1F645CD-3203-4D58-8101-5A70E147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AD9"/>
  </w:style>
  <w:style w:type="paragraph" w:styleId="Heading1">
    <w:name w:val="heading 1"/>
    <w:basedOn w:val="Normal"/>
    <w:next w:val="Normal"/>
    <w:link w:val="Heading1Char"/>
    <w:uiPriority w:val="9"/>
    <w:qFormat/>
    <w:rsid w:val="00F4711B"/>
    <w:pPr>
      <w:keepNext/>
      <w:keepLines/>
      <w:spacing w:before="240" w:after="0"/>
      <w:outlineLvl w:val="0"/>
    </w:pPr>
    <w:rPr>
      <w:rFonts w:asciiTheme="majorHAnsi" w:eastAsiaTheme="majorEastAsia" w:hAnsiTheme="majorHAnsi" w:cstheme="majorBidi"/>
      <w:color w:val="538135" w:themeColor="accent6"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1DD"/>
    <w:pPr>
      <w:ind w:left="720"/>
      <w:contextualSpacing/>
    </w:pPr>
  </w:style>
  <w:style w:type="paragraph" w:styleId="FootnoteText">
    <w:name w:val="footnote text"/>
    <w:basedOn w:val="Normal"/>
    <w:link w:val="FootnoteTextChar"/>
    <w:uiPriority w:val="99"/>
    <w:rsid w:val="00E441DD"/>
    <w:pPr>
      <w:spacing w:after="120" w:line="264" w:lineRule="auto"/>
    </w:pPr>
    <w:rPr>
      <w:rFonts w:eastAsiaTheme="minorEastAsia"/>
      <w:sz w:val="20"/>
      <w:szCs w:val="20"/>
    </w:rPr>
  </w:style>
  <w:style w:type="character" w:customStyle="1" w:styleId="FootnoteTextChar">
    <w:name w:val="Footnote Text Char"/>
    <w:basedOn w:val="DefaultParagraphFont"/>
    <w:link w:val="FootnoteText"/>
    <w:uiPriority w:val="99"/>
    <w:rsid w:val="00E441DD"/>
    <w:rPr>
      <w:rFonts w:eastAsiaTheme="minorEastAsia"/>
      <w:sz w:val="20"/>
      <w:szCs w:val="20"/>
    </w:rPr>
  </w:style>
  <w:style w:type="character" w:styleId="FootnoteReference">
    <w:name w:val="footnote reference"/>
    <w:uiPriority w:val="99"/>
    <w:rsid w:val="00E441DD"/>
    <w:rPr>
      <w:vertAlign w:val="superscript"/>
    </w:rPr>
  </w:style>
  <w:style w:type="table" w:styleId="TableGrid">
    <w:name w:val="Table Grid"/>
    <w:basedOn w:val="TableNormal"/>
    <w:uiPriority w:val="39"/>
    <w:rsid w:val="00782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428"/>
    <w:rPr>
      <w:color w:val="0563C1" w:themeColor="hyperlink"/>
      <w:u w:val="single"/>
    </w:rPr>
  </w:style>
  <w:style w:type="character" w:customStyle="1" w:styleId="UnresolvedMention">
    <w:name w:val="Unresolved Mention"/>
    <w:basedOn w:val="DefaultParagraphFont"/>
    <w:uiPriority w:val="99"/>
    <w:semiHidden/>
    <w:unhideWhenUsed/>
    <w:rsid w:val="00782428"/>
    <w:rPr>
      <w:color w:val="605E5C"/>
      <w:shd w:val="clear" w:color="auto" w:fill="E1DFDD"/>
    </w:rPr>
  </w:style>
  <w:style w:type="character" w:customStyle="1" w:styleId="Heading1Char">
    <w:name w:val="Heading 1 Char"/>
    <w:basedOn w:val="DefaultParagraphFont"/>
    <w:link w:val="Heading1"/>
    <w:uiPriority w:val="9"/>
    <w:rsid w:val="00F4711B"/>
    <w:rPr>
      <w:rFonts w:asciiTheme="majorHAnsi" w:eastAsiaTheme="majorEastAsia" w:hAnsiTheme="majorHAnsi" w:cstheme="majorBidi"/>
      <w:color w:val="538135" w:themeColor="accent6" w:themeShade="BF"/>
      <w:sz w:val="32"/>
      <w:szCs w:val="32"/>
      <w:lang w:val="en-US"/>
    </w:rPr>
  </w:style>
  <w:style w:type="paragraph" w:styleId="Subtitle">
    <w:name w:val="Subtitle"/>
    <w:basedOn w:val="Normal"/>
    <w:next w:val="Normal"/>
    <w:link w:val="SubtitleChar"/>
    <w:uiPriority w:val="11"/>
    <w:qFormat/>
    <w:rsid w:val="00F471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711B"/>
    <w:rPr>
      <w:rFonts w:eastAsiaTheme="minorEastAsia"/>
      <w:color w:val="5A5A5A" w:themeColor="text1" w:themeTint="A5"/>
      <w:spacing w:val="15"/>
    </w:rPr>
  </w:style>
  <w:style w:type="table" w:styleId="PlainTable5">
    <w:name w:val="Plain Table 5"/>
    <w:basedOn w:val="TableNormal"/>
    <w:uiPriority w:val="45"/>
    <w:rsid w:val="00F4711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F47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1B"/>
  </w:style>
  <w:style w:type="paragraph" w:styleId="Footer">
    <w:name w:val="footer"/>
    <w:basedOn w:val="Normal"/>
    <w:link w:val="FooterChar"/>
    <w:uiPriority w:val="99"/>
    <w:unhideWhenUsed/>
    <w:rsid w:val="00F47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1B"/>
  </w:style>
  <w:style w:type="character" w:styleId="FollowedHyperlink">
    <w:name w:val="FollowedHyperlink"/>
    <w:basedOn w:val="DefaultParagraphFont"/>
    <w:uiPriority w:val="99"/>
    <w:semiHidden/>
    <w:unhideWhenUsed/>
    <w:rsid w:val="004A10D6"/>
    <w:rPr>
      <w:color w:val="954F72" w:themeColor="followedHyperlink"/>
      <w:u w:val="single"/>
    </w:rPr>
  </w:style>
  <w:style w:type="paragraph" w:customStyle="1" w:styleId="Default">
    <w:name w:val="Default"/>
    <w:rsid w:val="004A10D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1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D6"/>
    <w:rPr>
      <w:rFonts w:ascii="Segoe UI" w:hAnsi="Segoe UI" w:cs="Segoe UI"/>
      <w:sz w:val="18"/>
      <w:szCs w:val="18"/>
    </w:rPr>
  </w:style>
  <w:style w:type="character" w:styleId="CommentReference">
    <w:name w:val="annotation reference"/>
    <w:basedOn w:val="DefaultParagraphFont"/>
    <w:uiPriority w:val="99"/>
    <w:semiHidden/>
    <w:unhideWhenUsed/>
    <w:rsid w:val="00FF78D6"/>
    <w:rPr>
      <w:sz w:val="16"/>
      <w:szCs w:val="16"/>
    </w:rPr>
  </w:style>
  <w:style w:type="paragraph" w:styleId="CommentText">
    <w:name w:val="annotation text"/>
    <w:basedOn w:val="Normal"/>
    <w:link w:val="CommentTextChar"/>
    <w:uiPriority w:val="99"/>
    <w:semiHidden/>
    <w:unhideWhenUsed/>
    <w:rsid w:val="00FF78D6"/>
    <w:pPr>
      <w:spacing w:line="240" w:lineRule="auto"/>
    </w:pPr>
    <w:rPr>
      <w:sz w:val="20"/>
      <w:szCs w:val="20"/>
    </w:rPr>
  </w:style>
  <w:style w:type="character" w:customStyle="1" w:styleId="CommentTextChar">
    <w:name w:val="Comment Text Char"/>
    <w:basedOn w:val="DefaultParagraphFont"/>
    <w:link w:val="CommentText"/>
    <w:uiPriority w:val="99"/>
    <w:semiHidden/>
    <w:rsid w:val="00FF78D6"/>
    <w:rPr>
      <w:sz w:val="20"/>
      <w:szCs w:val="20"/>
    </w:rPr>
  </w:style>
  <w:style w:type="paragraph" w:styleId="CommentSubject">
    <w:name w:val="annotation subject"/>
    <w:basedOn w:val="CommentText"/>
    <w:next w:val="CommentText"/>
    <w:link w:val="CommentSubjectChar"/>
    <w:uiPriority w:val="99"/>
    <w:semiHidden/>
    <w:unhideWhenUsed/>
    <w:rsid w:val="00FF78D6"/>
    <w:rPr>
      <w:b/>
      <w:bCs/>
    </w:rPr>
  </w:style>
  <w:style w:type="character" w:customStyle="1" w:styleId="CommentSubjectChar">
    <w:name w:val="Comment Subject Char"/>
    <w:basedOn w:val="CommentTextChar"/>
    <w:link w:val="CommentSubject"/>
    <w:uiPriority w:val="99"/>
    <w:semiHidden/>
    <w:rsid w:val="00FF78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5926">
      <w:bodyDiv w:val="1"/>
      <w:marLeft w:val="0"/>
      <w:marRight w:val="0"/>
      <w:marTop w:val="0"/>
      <w:marBottom w:val="0"/>
      <w:divBdr>
        <w:top w:val="none" w:sz="0" w:space="0" w:color="auto"/>
        <w:left w:val="none" w:sz="0" w:space="0" w:color="auto"/>
        <w:bottom w:val="none" w:sz="0" w:space="0" w:color="auto"/>
        <w:right w:val="none" w:sz="0" w:space="0" w:color="auto"/>
      </w:divBdr>
    </w:div>
    <w:div w:id="1422792837">
      <w:bodyDiv w:val="1"/>
      <w:marLeft w:val="0"/>
      <w:marRight w:val="0"/>
      <w:marTop w:val="0"/>
      <w:marBottom w:val="0"/>
      <w:divBdr>
        <w:top w:val="none" w:sz="0" w:space="0" w:color="auto"/>
        <w:left w:val="none" w:sz="0" w:space="0" w:color="auto"/>
        <w:bottom w:val="none" w:sz="0" w:space="0" w:color="auto"/>
        <w:right w:val="none" w:sz="0" w:space="0" w:color="auto"/>
      </w:divBdr>
    </w:div>
    <w:div w:id="20782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0611-9B11-42ED-896F-8CCEAFF5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6576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Williams</dc:creator>
  <cp:keywords/>
  <dc:description/>
  <cp:lastModifiedBy>Scambler, Dianne</cp:lastModifiedBy>
  <cp:revision>2</cp:revision>
  <cp:lastPrinted>2019-11-21T10:12:00Z</cp:lastPrinted>
  <dcterms:created xsi:type="dcterms:W3CDTF">2019-11-27T11:34:00Z</dcterms:created>
  <dcterms:modified xsi:type="dcterms:W3CDTF">2019-11-27T11:34:00Z</dcterms:modified>
</cp:coreProperties>
</file>